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AECFED">
      <w:pPr>
        <w:jc w:val="center"/>
        <w:rPr>
          <w:rFonts w:hint="eastAsia" w:ascii="微软雅黑" w:hAnsi="微软雅黑" w:eastAsia="微软雅黑" w:cs="微软雅黑"/>
          <w:sz w:val="36"/>
          <w:szCs w:val="36"/>
          <w:lang w:val="en-US" w:eastAsia="zh-CN"/>
        </w:rPr>
      </w:pPr>
      <w:r>
        <w:rPr>
          <w:rFonts w:hint="eastAsia" w:ascii="微软雅黑" w:hAnsi="微软雅黑" w:eastAsia="微软雅黑" w:cs="微软雅黑"/>
          <w:sz w:val="36"/>
          <w:szCs w:val="36"/>
          <w:lang w:eastAsia="zh-CN"/>
        </w:rPr>
        <w:t>《</w:t>
      </w:r>
      <w:r>
        <w:rPr>
          <w:rFonts w:hint="eastAsia" w:ascii="微软雅黑" w:hAnsi="微软雅黑" w:eastAsia="微软雅黑" w:cs="微软雅黑"/>
          <w:sz w:val="36"/>
          <w:szCs w:val="36"/>
        </w:rPr>
        <w:t>打叶复烤仓储害虫综合防控技术规程</w:t>
      </w:r>
      <w:r>
        <w:rPr>
          <w:rFonts w:hint="eastAsia" w:ascii="微软雅黑" w:hAnsi="微软雅黑" w:eastAsia="微软雅黑" w:cs="微软雅黑"/>
          <w:sz w:val="36"/>
          <w:szCs w:val="36"/>
          <w:lang w:eastAsia="zh-CN"/>
        </w:rPr>
        <w:t>》</w:t>
      </w:r>
      <w:r>
        <w:rPr>
          <w:rFonts w:hint="eastAsia" w:ascii="微软雅黑" w:hAnsi="微软雅黑" w:eastAsia="微软雅黑" w:cs="微软雅黑"/>
          <w:sz w:val="36"/>
          <w:szCs w:val="36"/>
          <w:lang w:val="en-US" w:eastAsia="zh-CN"/>
        </w:rPr>
        <w:t>地方标准</w:t>
      </w:r>
    </w:p>
    <w:p w14:paraId="09F3FE28">
      <w:pPr>
        <w:jc w:val="center"/>
        <w:rPr>
          <w:rFonts w:hint="eastAsia" w:ascii="微软雅黑" w:hAnsi="微软雅黑" w:eastAsia="微软雅黑" w:cs="微软雅黑"/>
          <w:sz w:val="36"/>
          <w:szCs w:val="36"/>
          <w:lang w:val="en-US" w:eastAsia="zh-CN"/>
        </w:rPr>
      </w:pPr>
      <w:r>
        <w:rPr>
          <w:rFonts w:hint="eastAsia" w:ascii="微软雅黑" w:hAnsi="微软雅黑" w:eastAsia="微软雅黑" w:cs="微软雅黑"/>
          <w:sz w:val="36"/>
          <w:szCs w:val="36"/>
          <w:lang w:val="en-US" w:eastAsia="zh-CN"/>
        </w:rPr>
        <w:t>编制说明</w:t>
      </w:r>
    </w:p>
    <w:p w14:paraId="229CE1E1">
      <w:pPr>
        <w:pStyle w:val="3"/>
        <w:keepNext/>
        <w:keepLines/>
        <w:pageBreakBefore w:val="0"/>
        <w:widowControl w:val="0"/>
        <w:numPr>
          <w:ilvl w:val="0"/>
          <w:numId w:val="4"/>
        </w:numPr>
        <w:kinsoku/>
        <w:wordWrap/>
        <w:overflowPunct/>
        <w:topLinePunct w:val="0"/>
        <w:autoSpaceDE/>
        <w:autoSpaceDN/>
        <w:bidi w:val="0"/>
        <w:adjustRightInd/>
        <w:snapToGrid/>
        <w:spacing w:before="0" w:after="0" w:line="240" w:lineRule="auto"/>
        <w:ind w:firstLine="640" w:firstLineChars="200"/>
        <w:textAlignment w:val="auto"/>
        <w:rPr>
          <w:rFonts w:hint="eastAsia"/>
          <w:lang w:val="en-US" w:eastAsia="zh-CN"/>
        </w:rPr>
      </w:pPr>
      <w:r>
        <w:rPr>
          <w:rFonts w:hint="eastAsia"/>
          <w:lang w:val="en-US" w:eastAsia="zh-CN"/>
        </w:rPr>
        <w:t>工作简况</w:t>
      </w:r>
    </w:p>
    <w:p w14:paraId="00A43A13">
      <w:pPr>
        <w:pStyle w:val="4"/>
        <w:numPr>
          <w:ilvl w:val="0"/>
          <w:numId w:val="5"/>
        </w:numPr>
        <w:bidi w:val="0"/>
        <w:rPr>
          <w:rFonts w:hint="eastAsia"/>
          <w:lang w:val="en-US" w:eastAsia="zh-CN"/>
        </w:rPr>
      </w:pPr>
      <w:r>
        <w:rPr>
          <w:rFonts w:hint="eastAsia"/>
          <w:lang w:val="en-US" w:eastAsia="zh-CN"/>
        </w:rPr>
        <w:t>任务来源</w:t>
      </w:r>
    </w:p>
    <w:p w14:paraId="7988CC94">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方正楷体_GB2312" w:hAnsi="方正楷体_GB2312" w:eastAsia="方正楷体_GB2312" w:cs="方正楷体_GB2312"/>
          <w:b w:val="0"/>
          <w:lang w:val="en-US" w:eastAsia="zh-CN"/>
        </w:rPr>
      </w:pPr>
      <w:r>
        <w:rPr>
          <w:rFonts w:hint="eastAsia" w:ascii="方正仿宋_GB2312" w:hAnsi="方正仿宋_GB2312" w:cs="方正仿宋_GB2312"/>
          <w:lang w:val="en-US" w:eastAsia="zh-CN"/>
        </w:rPr>
        <w:t>2024</w:t>
      </w:r>
      <w:r>
        <w:rPr>
          <w:rFonts w:hint="eastAsia" w:ascii="方正仿宋_GB2312" w:hAnsi="方正仿宋_GB2312" w:cs="方正仿宋_GB2312"/>
          <w:highlight w:val="none"/>
          <w:lang w:val="en-US" w:eastAsia="zh-CN"/>
        </w:rPr>
        <w:t>年8月，</w:t>
      </w:r>
      <w:r>
        <w:rPr>
          <w:rFonts w:hint="eastAsia" w:ascii="方正仿宋_GB2312" w:hAnsi="方正仿宋_GB2312" w:cs="方正仿宋_GB2312"/>
          <w:lang w:val="en-US" w:eastAsia="zh-CN"/>
        </w:rPr>
        <w:t>云南省烟草烟叶公司申请《打叶复烤仓储害虫综合防控技术规程》地方标准的立项，</w:t>
      </w:r>
      <w:r>
        <w:rPr>
          <w:rFonts w:hint="eastAsia" w:ascii="方正仿宋_GB2312" w:hAnsi="方正仿宋_GB2312" w:eastAsia="方正仿宋_GB2312" w:cs="方正仿宋_GB2312"/>
          <w:spacing w:val="2"/>
          <w:highlight w:val="none"/>
        </w:rPr>
        <w:t>云南省</w:t>
      </w:r>
      <w:r>
        <w:rPr>
          <w:rFonts w:hint="eastAsia" w:ascii="方正仿宋_GB2312" w:hAnsi="方正仿宋_GB2312" w:cs="方正仿宋_GB2312"/>
          <w:spacing w:val="2"/>
          <w:highlight w:val="none"/>
          <w:lang w:val="en-US" w:eastAsia="zh-CN"/>
        </w:rPr>
        <w:t>市场</w:t>
      </w:r>
      <w:r>
        <w:rPr>
          <w:rFonts w:hint="eastAsia" w:ascii="方正仿宋_GB2312" w:hAnsi="方正仿宋_GB2312" w:eastAsia="方正仿宋_GB2312" w:cs="方正仿宋_GB2312"/>
          <w:spacing w:val="2"/>
          <w:highlight w:val="none"/>
        </w:rPr>
        <w:t>监督</w:t>
      </w:r>
      <w:r>
        <w:rPr>
          <w:rFonts w:hint="eastAsia" w:ascii="方正仿宋_GB2312" w:hAnsi="方正仿宋_GB2312" w:cs="方正仿宋_GB2312"/>
          <w:spacing w:val="2"/>
          <w:highlight w:val="none"/>
          <w:lang w:val="en-US" w:eastAsia="zh-CN"/>
        </w:rPr>
        <w:t>管理</w:t>
      </w:r>
      <w:r>
        <w:rPr>
          <w:rFonts w:hint="eastAsia" w:ascii="方正仿宋_GB2312" w:hAnsi="方正仿宋_GB2312" w:eastAsia="方正仿宋_GB2312" w:cs="方正仿宋_GB2312"/>
          <w:spacing w:val="2"/>
          <w:highlight w:val="none"/>
        </w:rPr>
        <w:t>局</w:t>
      </w:r>
      <w:r>
        <w:rPr>
          <w:rFonts w:hint="eastAsia" w:ascii="方正仿宋_GB2312" w:hAnsi="方正仿宋_GB2312" w:eastAsia="方正仿宋_GB2312" w:cs="方正仿宋_GB2312"/>
          <w:lang w:val="en-US" w:eastAsia="zh-CN"/>
        </w:rPr>
        <w:t>于2025年1月3日</w:t>
      </w:r>
      <w:r>
        <w:rPr>
          <w:rFonts w:hint="eastAsia" w:ascii="方正仿宋_GB2312" w:hAnsi="方正仿宋_GB2312" w:cs="方正仿宋_GB2312"/>
          <w:lang w:val="en-US" w:eastAsia="zh-CN"/>
        </w:rPr>
        <w:t>将其列入2024年（四季度）云南省地方标准制修订项目计划，批准由云南省烟草烟叶公司牵头《打叶复烤仓储害虫综合防控技术规程》地方标准制定。</w:t>
      </w:r>
    </w:p>
    <w:p w14:paraId="4860F2E1">
      <w:pPr>
        <w:pStyle w:val="4"/>
        <w:numPr>
          <w:ilvl w:val="0"/>
          <w:numId w:val="5"/>
        </w:numPr>
        <w:bidi w:val="0"/>
        <w:ind w:firstLine="720"/>
        <w:rPr>
          <w:rFonts w:hint="eastAsia"/>
          <w:lang w:val="en-US" w:eastAsia="zh-CN"/>
        </w:rPr>
      </w:pPr>
      <w:r>
        <w:rPr>
          <w:rFonts w:hint="eastAsia"/>
          <w:lang w:val="en-US" w:eastAsia="zh-CN"/>
        </w:rPr>
        <w:t>起草单位、协作单位</w:t>
      </w:r>
    </w:p>
    <w:p w14:paraId="440CCA8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方正仿宋_GB2312" w:hAnsi="方正仿宋_GB2312" w:cs="方正仿宋_GB2312"/>
          <w:lang w:val="en-US" w:eastAsia="zh-CN"/>
        </w:rPr>
      </w:pPr>
      <w:r>
        <w:rPr>
          <w:rFonts w:hint="eastAsia" w:ascii="方正仿宋_GB2312" w:hAnsi="方正仿宋_GB2312" w:cs="方正仿宋_GB2312"/>
          <w:lang w:val="en-US" w:eastAsia="zh-CN"/>
        </w:rPr>
        <w:t>起草单位：云南省烟草烟叶公司</w:t>
      </w:r>
    </w:p>
    <w:p w14:paraId="17B23F83">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eastAsia="方正仿宋_GB2312"/>
          <w:spacing w:val="27"/>
          <w:u w:val="none" w:color="auto"/>
          <w:lang w:val="en-US" w:eastAsia="zh-CN"/>
        </w:rPr>
      </w:pPr>
      <w:r>
        <w:rPr>
          <w:rFonts w:hint="eastAsia" w:ascii="方正仿宋_GB2312" w:hAnsi="方正仿宋_GB2312" w:cs="方正仿宋_GB2312"/>
          <w:lang w:val="en-US" w:eastAsia="zh-CN"/>
        </w:rPr>
        <w:t>协作单位：云南省标准化研究院；</w:t>
      </w:r>
      <w:r>
        <w:rPr>
          <w:spacing w:val="27"/>
          <w:u w:val="none" w:color="auto"/>
        </w:rPr>
        <w:t>颐中</w:t>
      </w:r>
      <w:r>
        <w:rPr>
          <w:rFonts w:hint="eastAsia"/>
          <w:spacing w:val="27"/>
          <w:u w:val="none" w:color="auto"/>
          <w:lang w:eastAsia="zh-CN"/>
        </w:rPr>
        <w:t>（</w:t>
      </w:r>
      <w:r>
        <w:rPr>
          <w:spacing w:val="27"/>
          <w:u w:val="none" w:color="auto"/>
        </w:rPr>
        <w:t>青岛</w:t>
      </w:r>
      <w:r>
        <w:rPr>
          <w:rFonts w:hint="eastAsia"/>
          <w:spacing w:val="27"/>
          <w:u w:val="none" w:color="auto"/>
          <w:lang w:eastAsia="zh-CN"/>
        </w:rPr>
        <w:t>）</w:t>
      </w:r>
      <w:r>
        <w:rPr>
          <w:spacing w:val="27"/>
          <w:u w:val="none" w:color="auto"/>
        </w:rPr>
        <w:t>物流有限</w:t>
      </w:r>
      <w:r>
        <w:rPr>
          <w:rFonts w:hint="eastAsia"/>
          <w:spacing w:val="27"/>
          <w:u w:val="none" w:color="auto"/>
          <w:lang w:val="en-US" w:eastAsia="zh-CN"/>
        </w:rPr>
        <w:t>公司</w:t>
      </w:r>
    </w:p>
    <w:p w14:paraId="156BA455">
      <w:pPr>
        <w:pStyle w:val="4"/>
        <w:numPr>
          <w:ilvl w:val="0"/>
          <w:numId w:val="5"/>
        </w:numPr>
        <w:bidi w:val="0"/>
        <w:ind w:firstLine="720"/>
        <w:rPr>
          <w:rFonts w:hint="eastAsia"/>
          <w:lang w:val="en-US" w:eastAsia="zh-CN"/>
        </w:rPr>
      </w:pPr>
      <w:r>
        <w:rPr>
          <w:rFonts w:hint="eastAsia"/>
          <w:lang w:val="en-US" w:eastAsia="zh-CN"/>
        </w:rPr>
        <w:t>主要起草人</w:t>
      </w:r>
    </w:p>
    <w:tbl>
      <w:tblPr>
        <w:tblStyle w:val="14"/>
        <w:tblW w:w="8217" w:type="dxa"/>
        <w:tblInd w:w="30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5"/>
        <w:gridCol w:w="768"/>
        <w:gridCol w:w="1987"/>
        <w:gridCol w:w="2253"/>
        <w:gridCol w:w="2074"/>
      </w:tblGrid>
      <w:tr w14:paraId="2266E4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135" w:type="dxa"/>
            <w:vAlign w:val="top"/>
          </w:tcPr>
          <w:p w14:paraId="73075AA2">
            <w:pPr>
              <w:pStyle w:val="13"/>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姓名</w:t>
            </w:r>
          </w:p>
        </w:tc>
        <w:tc>
          <w:tcPr>
            <w:tcW w:w="768" w:type="dxa"/>
            <w:vAlign w:val="top"/>
          </w:tcPr>
          <w:p w14:paraId="3D334919">
            <w:pPr>
              <w:pStyle w:val="13"/>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性别</w:t>
            </w:r>
          </w:p>
        </w:tc>
        <w:tc>
          <w:tcPr>
            <w:tcW w:w="1987" w:type="dxa"/>
            <w:vAlign w:val="top"/>
          </w:tcPr>
          <w:p w14:paraId="25F573ED">
            <w:pPr>
              <w:pStyle w:val="13"/>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职务/职称</w:t>
            </w:r>
          </w:p>
        </w:tc>
        <w:tc>
          <w:tcPr>
            <w:tcW w:w="2253" w:type="dxa"/>
            <w:vAlign w:val="top"/>
          </w:tcPr>
          <w:p w14:paraId="501220D5">
            <w:pPr>
              <w:pStyle w:val="13"/>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工作单位</w:t>
            </w:r>
          </w:p>
        </w:tc>
        <w:tc>
          <w:tcPr>
            <w:tcW w:w="2074" w:type="dxa"/>
            <w:vAlign w:val="top"/>
          </w:tcPr>
          <w:p w14:paraId="7624F900">
            <w:pPr>
              <w:pStyle w:val="13"/>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任务分工</w:t>
            </w:r>
          </w:p>
        </w:tc>
      </w:tr>
      <w:tr w14:paraId="1368D1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3" w:hRule="atLeast"/>
        </w:trPr>
        <w:tc>
          <w:tcPr>
            <w:tcW w:w="1135" w:type="dxa"/>
            <w:vAlign w:val="center"/>
          </w:tcPr>
          <w:p w14:paraId="6E1C5B37">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谷星慧</w:t>
            </w:r>
          </w:p>
        </w:tc>
        <w:tc>
          <w:tcPr>
            <w:tcW w:w="768" w:type="dxa"/>
            <w:vAlign w:val="center"/>
          </w:tcPr>
          <w:p w14:paraId="4AB1D68B">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女</w:t>
            </w:r>
          </w:p>
        </w:tc>
        <w:tc>
          <w:tcPr>
            <w:tcW w:w="1987" w:type="dxa"/>
            <w:vAlign w:val="center"/>
          </w:tcPr>
          <w:p w14:paraId="5B0CC309">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高级农艺师</w:t>
            </w:r>
          </w:p>
        </w:tc>
        <w:tc>
          <w:tcPr>
            <w:tcW w:w="2253" w:type="dxa"/>
            <w:vAlign w:val="center"/>
          </w:tcPr>
          <w:p w14:paraId="31BEA11D">
            <w:pPr>
              <w:pStyle w:val="13"/>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vAlign w:val="center"/>
          </w:tcPr>
          <w:p w14:paraId="54234A64">
            <w:pPr>
              <w:pStyle w:val="13"/>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rPr>
            </w:pPr>
            <w:r>
              <w:rPr>
                <w:rFonts w:hint="eastAsia" w:ascii="宋体" w:hAnsi="宋体" w:eastAsia="宋体" w:cs="宋体"/>
                <w:spacing w:val="-10"/>
                <w:sz w:val="21"/>
                <w:szCs w:val="21"/>
              </w:rPr>
              <w:t>项目负责人、</w:t>
            </w:r>
            <w:r>
              <w:rPr>
                <w:rFonts w:hint="eastAsia" w:ascii="宋体" w:hAnsi="宋体" w:eastAsia="宋体" w:cs="宋体"/>
                <w:spacing w:val="2"/>
                <w:sz w:val="21"/>
                <w:szCs w:val="21"/>
              </w:rPr>
              <w:t>项目统筹与标准编制</w:t>
            </w:r>
          </w:p>
        </w:tc>
      </w:tr>
      <w:tr w14:paraId="5061B0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135" w:type="dxa"/>
            <w:shd w:val="clear" w:color="auto" w:fill="auto"/>
            <w:vAlign w:val="center"/>
          </w:tcPr>
          <w:p w14:paraId="0D466F28">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陶成金</w:t>
            </w:r>
          </w:p>
        </w:tc>
        <w:tc>
          <w:tcPr>
            <w:tcW w:w="768" w:type="dxa"/>
            <w:shd w:val="clear" w:color="auto" w:fill="auto"/>
            <w:vAlign w:val="center"/>
          </w:tcPr>
          <w:p w14:paraId="1D6701AC">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男</w:t>
            </w:r>
          </w:p>
        </w:tc>
        <w:tc>
          <w:tcPr>
            <w:tcW w:w="1987" w:type="dxa"/>
            <w:shd w:val="clear" w:color="auto" w:fill="auto"/>
            <w:vAlign w:val="center"/>
          </w:tcPr>
          <w:p w14:paraId="7DCB0352">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副经理/高级会计师</w:t>
            </w:r>
          </w:p>
        </w:tc>
        <w:tc>
          <w:tcPr>
            <w:tcW w:w="2253" w:type="dxa"/>
            <w:vAlign w:val="center"/>
          </w:tcPr>
          <w:p w14:paraId="10163D9D">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1DCFEC93">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项目统筹与标准编制</w:t>
            </w:r>
          </w:p>
        </w:tc>
      </w:tr>
      <w:tr w14:paraId="18E538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135" w:type="dxa"/>
            <w:shd w:val="clear" w:color="auto" w:fill="auto"/>
            <w:vAlign w:val="center"/>
          </w:tcPr>
          <w:p w14:paraId="09D25969">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赵昌华</w:t>
            </w:r>
          </w:p>
        </w:tc>
        <w:tc>
          <w:tcPr>
            <w:tcW w:w="768" w:type="dxa"/>
            <w:shd w:val="clear" w:color="auto" w:fill="auto"/>
            <w:vAlign w:val="center"/>
          </w:tcPr>
          <w:p w14:paraId="6404B61D">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男</w:t>
            </w:r>
          </w:p>
        </w:tc>
        <w:tc>
          <w:tcPr>
            <w:tcW w:w="1987" w:type="dxa"/>
            <w:shd w:val="clear" w:color="auto" w:fill="auto"/>
            <w:vAlign w:val="center"/>
          </w:tcPr>
          <w:p w14:paraId="4D85FA17">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科长/助理会计师</w:t>
            </w:r>
          </w:p>
        </w:tc>
        <w:tc>
          <w:tcPr>
            <w:tcW w:w="2253" w:type="dxa"/>
            <w:vAlign w:val="center"/>
          </w:tcPr>
          <w:p w14:paraId="6EE47E4D">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6FAD3427">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参数验证与标准编制</w:t>
            </w:r>
          </w:p>
        </w:tc>
      </w:tr>
      <w:tr w14:paraId="0F89DA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67C4A643">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朱 磊</w:t>
            </w:r>
          </w:p>
        </w:tc>
        <w:tc>
          <w:tcPr>
            <w:tcW w:w="768" w:type="dxa"/>
            <w:shd w:val="clear" w:color="auto" w:fill="auto"/>
            <w:vAlign w:val="center"/>
          </w:tcPr>
          <w:p w14:paraId="0513A749">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男</w:t>
            </w:r>
          </w:p>
        </w:tc>
        <w:tc>
          <w:tcPr>
            <w:tcW w:w="1987" w:type="dxa"/>
            <w:shd w:val="clear" w:color="auto" w:fill="auto"/>
            <w:vAlign w:val="center"/>
          </w:tcPr>
          <w:p w14:paraId="68BBAEC6">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2253" w:type="dxa"/>
            <w:vAlign w:val="center"/>
          </w:tcPr>
          <w:p w14:paraId="1A696F7B">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65639DB9">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参数验证与标准编制</w:t>
            </w:r>
          </w:p>
        </w:tc>
      </w:tr>
      <w:tr w14:paraId="785412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7724E9D9">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吴耀廷</w:t>
            </w:r>
          </w:p>
        </w:tc>
        <w:tc>
          <w:tcPr>
            <w:tcW w:w="768" w:type="dxa"/>
            <w:shd w:val="clear" w:color="auto" w:fill="auto"/>
            <w:vAlign w:val="center"/>
          </w:tcPr>
          <w:p w14:paraId="4DA37678">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男</w:t>
            </w:r>
          </w:p>
        </w:tc>
        <w:tc>
          <w:tcPr>
            <w:tcW w:w="1987" w:type="dxa"/>
            <w:shd w:val="clear" w:color="auto" w:fill="auto"/>
            <w:vAlign w:val="center"/>
          </w:tcPr>
          <w:p w14:paraId="3C9A6AA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助理工程师</w:t>
            </w:r>
          </w:p>
        </w:tc>
        <w:tc>
          <w:tcPr>
            <w:tcW w:w="2253" w:type="dxa"/>
            <w:vAlign w:val="center"/>
          </w:tcPr>
          <w:p w14:paraId="1F4034BB">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729F01FA">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参数验证与标准编制</w:t>
            </w:r>
          </w:p>
        </w:tc>
      </w:tr>
      <w:tr w14:paraId="469FD8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7B88707B">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张宸恺</w:t>
            </w:r>
          </w:p>
        </w:tc>
        <w:tc>
          <w:tcPr>
            <w:tcW w:w="768" w:type="dxa"/>
            <w:shd w:val="clear" w:color="auto" w:fill="auto"/>
            <w:vAlign w:val="center"/>
          </w:tcPr>
          <w:p w14:paraId="69101DC3">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男</w:t>
            </w:r>
          </w:p>
        </w:tc>
        <w:tc>
          <w:tcPr>
            <w:tcW w:w="1987" w:type="dxa"/>
            <w:shd w:val="clear" w:color="auto" w:fill="auto"/>
            <w:vAlign w:val="center"/>
          </w:tcPr>
          <w:p w14:paraId="18325732">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副科长/助理工程师</w:t>
            </w:r>
          </w:p>
        </w:tc>
        <w:tc>
          <w:tcPr>
            <w:tcW w:w="2253" w:type="dxa"/>
            <w:vAlign w:val="center"/>
          </w:tcPr>
          <w:p w14:paraId="401C950C">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469A6568">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参数验证与标准编制</w:t>
            </w:r>
          </w:p>
        </w:tc>
      </w:tr>
      <w:tr w14:paraId="05CB27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6EA7EBD6">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王 维</w:t>
            </w:r>
          </w:p>
        </w:tc>
        <w:tc>
          <w:tcPr>
            <w:tcW w:w="768" w:type="dxa"/>
            <w:shd w:val="clear" w:color="auto" w:fill="auto"/>
            <w:vAlign w:val="center"/>
          </w:tcPr>
          <w:p w14:paraId="4E23843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男</w:t>
            </w:r>
          </w:p>
        </w:tc>
        <w:tc>
          <w:tcPr>
            <w:tcW w:w="1987" w:type="dxa"/>
            <w:shd w:val="clear" w:color="auto" w:fill="auto"/>
            <w:vAlign w:val="center"/>
          </w:tcPr>
          <w:p w14:paraId="2F30949A">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副科长/经济师</w:t>
            </w:r>
          </w:p>
        </w:tc>
        <w:tc>
          <w:tcPr>
            <w:tcW w:w="2253" w:type="dxa"/>
            <w:vAlign w:val="center"/>
          </w:tcPr>
          <w:p w14:paraId="1A3A9386">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5949E7AB">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标准编制</w:t>
            </w:r>
          </w:p>
        </w:tc>
      </w:tr>
      <w:tr w14:paraId="3DD2F7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0CDE9D90">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尹 茜</w:t>
            </w:r>
          </w:p>
        </w:tc>
        <w:tc>
          <w:tcPr>
            <w:tcW w:w="768" w:type="dxa"/>
            <w:shd w:val="clear" w:color="auto" w:fill="auto"/>
            <w:vAlign w:val="center"/>
          </w:tcPr>
          <w:p w14:paraId="7368D771">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女</w:t>
            </w:r>
          </w:p>
        </w:tc>
        <w:tc>
          <w:tcPr>
            <w:tcW w:w="1987" w:type="dxa"/>
            <w:shd w:val="clear" w:color="auto" w:fill="auto"/>
            <w:vAlign w:val="center"/>
          </w:tcPr>
          <w:p w14:paraId="63E6B1F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农艺师</w:t>
            </w:r>
          </w:p>
        </w:tc>
        <w:tc>
          <w:tcPr>
            <w:tcW w:w="2253" w:type="dxa"/>
            <w:vAlign w:val="center"/>
          </w:tcPr>
          <w:p w14:paraId="6B4065F5">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2143F660">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征求意见及意见收集</w:t>
            </w:r>
          </w:p>
        </w:tc>
      </w:tr>
      <w:tr w14:paraId="54DE1E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47C676D1">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尹淑媛</w:t>
            </w:r>
          </w:p>
        </w:tc>
        <w:tc>
          <w:tcPr>
            <w:tcW w:w="768" w:type="dxa"/>
            <w:shd w:val="clear" w:color="auto" w:fill="auto"/>
            <w:vAlign w:val="center"/>
          </w:tcPr>
          <w:p w14:paraId="586E8BF3">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女</w:t>
            </w:r>
          </w:p>
        </w:tc>
        <w:tc>
          <w:tcPr>
            <w:tcW w:w="1987" w:type="dxa"/>
            <w:shd w:val="clear" w:color="auto" w:fill="auto"/>
            <w:vAlign w:val="center"/>
          </w:tcPr>
          <w:p w14:paraId="563FC249">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农艺师</w:t>
            </w:r>
          </w:p>
        </w:tc>
        <w:tc>
          <w:tcPr>
            <w:tcW w:w="2253" w:type="dxa"/>
            <w:vAlign w:val="center"/>
          </w:tcPr>
          <w:p w14:paraId="335F0083">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40F100C0">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标准编制</w:t>
            </w:r>
          </w:p>
        </w:tc>
      </w:tr>
      <w:tr w14:paraId="390826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2B4C21EB">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杨 军</w:t>
            </w:r>
          </w:p>
        </w:tc>
        <w:tc>
          <w:tcPr>
            <w:tcW w:w="768" w:type="dxa"/>
            <w:shd w:val="clear" w:color="auto" w:fill="auto"/>
            <w:vAlign w:val="center"/>
          </w:tcPr>
          <w:p w14:paraId="3BE15142">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男</w:t>
            </w:r>
          </w:p>
        </w:tc>
        <w:tc>
          <w:tcPr>
            <w:tcW w:w="1987" w:type="dxa"/>
            <w:shd w:val="clear" w:color="auto" w:fill="auto"/>
            <w:vAlign w:val="center"/>
          </w:tcPr>
          <w:p w14:paraId="0DCBDD7B">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助理农艺师</w:t>
            </w:r>
          </w:p>
        </w:tc>
        <w:tc>
          <w:tcPr>
            <w:tcW w:w="2253" w:type="dxa"/>
            <w:vAlign w:val="center"/>
          </w:tcPr>
          <w:p w14:paraId="4D8B0FC4">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18B7F8C9">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标准编制</w:t>
            </w:r>
          </w:p>
        </w:tc>
      </w:tr>
      <w:tr w14:paraId="1F414F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2DC76A06">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胡靖晖</w:t>
            </w:r>
          </w:p>
        </w:tc>
        <w:tc>
          <w:tcPr>
            <w:tcW w:w="768" w:type="dxa"/>
            <w:shd w:val="clear" w:color="auto" w:fill="auto"/>
            <w:vAlign w:val="center"/>
          </w:tcPr>
          <w:p w14:paraId="165B82DE">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男</w:t>
            </w:r>
          </w:p>
        </w:tc>
        <w:tc>
          <w:tcPr>
            <w:tcW w:w="1987" w:type="dxa"/>
            <w:shd w:val="clear" w:color="auto" w:fill="auto"/>
            <w:vAlign w:val="center"/>
          </w:tcPr>
          <w:p w14:paraId="3F63B944">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助理农艺师</w:t>
            </w:r>
          </w:p>
        </w:tc>
        <w:tc>
          <w:tcPr>
            <w:tcW w:w="2253" w:type="dxa"/>
            <w:vAlign w:val="center"/>
          </w:tcPr>
          <w:p w14:paraId="78A5F893">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13B4323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参数验证与标准编制</w:t>
            </w:r>
          </w:p>
        </w:tc>
      </w:tr>
      <w:tr w14:paraId="4438D4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00066CDC">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袁 明</w:t>
            </w:r>
          </w:p>
        </w:tc>
        <w:tc>
          <w:tcPr>
            <w:tcW w:w="768" w:type="dxa"/>
            <w:shd w:val="clear" w:color="auto" w:fill="auto"/>
            <w:vAlign w:val="center"/>
          </w:tcPr>
          <w:p w14:paraId="1F1A7DF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男</w:t>
            </w:r>
          </w:p>
        </w:tc>
        <w:tc>
          <w:tcPr>
            <w:tcW w:w="1987" w:type="dxa"/>
            <w:shd w:val="clear" w:color="auto" w:fill="auto"/>
            <w:vAlign w:val="center"/>
          </w:tcPr>
          <w:p w14:paraId="6730D3F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助理工程师</w:t>
            </w:r>
          </w:p>
        </w:tc>
        <w:tc>
          <w:tcPr>
            <w:tcW w:w="2253" w:type="dxa"/>
            <w:vAlign w:val="center"/>
          </w:tcPr>
          <w:p w14:paraId="1107A15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17442FB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参数验证与标准编制</w:t>
            </w:r>
          </w:p>
        </w:tc>
      </w:tr>
      <w:tr w14:paraId="0768D0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0AEC54FD">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陶 达</w:t>
            </w:r>
          </w:p>
        </w:tc>
        <w:tc>
          <w:tcPr>
            <w:tcW w:w="768" w:type="dxa"/>
            <w:shd w:val="clear" w:color="auto" w:fill="auto"/>
            <w:vAlign w:val="center"/>
          </w:tcPr>
          <w:p w14:paraId="1A9755C7">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男</w:t>
            </w:r>
          </w:p>
        </w:tc>
        <w:tc>
          <w:tcPr>
            <w:tcW w:w="1987" w:type="dxa"/>
            <w:shd w:val="clear" w:color="auto" w:fill="auto"/>
            <w:vAlign w:val="center"/>
          </w:tcPr>
          <w:p w14:paraId="42F949DB">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助理农艺师</w:t>
            </w:r>
          </w:p>
        </w:tc>
        <w:tc>
          <w:tcPr>
            <w:tcW w:w="2253" w:type="dxa"/>
            <w:vAlign w:val="center"/>
          </w:tcPr>
          <w:p w14:paraId="5501D235">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3522DCFA">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参数验证与标准编制</w:t>
            </w:r>
          </w:p>
        </w:tc>
      </w:tr>
      <w:tr w14:paraId="5A36C1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7676B466">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冯煜凯</w:t>
            </w:r>
          </w:p>
        </w:tc>
        <w:tc>
          <w:tcPr>
            <w:tcW w:w="768" w:type="dxa"/>
            <w:shd w:val="clear" w:color="auto" w:fill="auto"/>
            <w:vAlign w:val="center"/>
          </w:tcPr>
          <w:p w14:paraId="63E5293D">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男</w:t>
            </w:r>
          </w:p>
        </w:tc>
        <w:tc>
          <w:tcPr>
            <w:tcW w:w="1987" w:type="dxa"/>
            <w:shd w:val="clear" w:color="auto" w:fill="auto"/>
            <w:vAlign w:val="center"/>
          </w:tcPr>
          <w:p w14:paraId="190293EA">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助理农艺师</w:t>
            </w:r>
          </w:p>
        </w:tc>
        <w:tc>
          <w:tcPr>
            <w:tcW w:w="2253" w:type="dxa"/>
            <w:vAlign w:val="center"/>
          </w:tcPr>
          <w:p w14:paraId="28EB9491">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4D2D4D3E">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en-US"/>
              </w:rPr>
            </w:pPr>
            <w:r>
              <w:rPr>
                <w:rFonts w:hint="eastAsia" w:ascii="宋体" w:hAnsi="宋体" w:eastAsia="宋体" w:cs="宋体"/>
                <w:sz w:val="21"/>
                <w:szCs w:val="21"/>
                <w:lang w:val="en-US" w:eastAsia="zh-CN"/>
              </w:rPr>
              <w:t>标准编制</w:t>
            </w:r>
          </w:p>
        </w:tc>
      </w:tr>
      <w:tr w14:paraId="06E232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0F49AA89">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高 原</w:t>
            </w:r>
          </w:p>
        </w:tc>
        <w:tc>
          <w:tcPr>
            <w:tcW w:w="768" w:type="dxa"/>
            <w:shd w:val="clear" w:color="auto" w:fill="auto"/>
            <w:vAlign w:val="center"/>
          </w:tcPr>
          <w:p w14:paraId="348EC46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男</w:t>
            </w:r>
          </w:p>
        </w:tc>
        <w:tc>
          <w:tcPr>
            <w:tcW w:w="1987" w:type="dxa"/>
            <w:shd w:val="clear" w:color="auto" w:fill="auto"/>
            <w:vAlign w:val="center"/>
          </w:tcPr>
          <w:p w14:paraId="2F413A7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工程师</w:t>
            </w:r>
          </w:p>
        </w:tc>
        <w:tc>
          <w:tcPr>
            <w:tcW w:w="2253" w:type="dxa"/>
            <w:vAlign w:val="center"/>
          </w:tcPr>
          <w:p w14:paraId="07DD12E5">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736BAE60">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标准编制与安全控制</w:t>
            </w:r>
          </w:p>
        </w:tc>
      </w:tr>
      <w:tr w14:paraId="3309C5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10B2AB8A">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李 卫</w:t>
            </w:r>
          </w:p>
        </w:tc>
        <w:tc>
          <w:tcPr>
            <w:tcW w:w="768" w:type="dxa"/>
            <w:shd w:val="clear" w:color="auto" w:fill="auto"/>
            <w:vAlign w:val="center"/>
          </w:tcPr>
          <w:p w14:paraId="1EFCDDE1">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男</w:t>
            </w:r>
          </w:p>
        </w:tc>
        <w:tc>
          <w:tcPr>
            <w:tcW w:w="1987" w:type="dxa"/>
            <w:shd w:val="clear" w:color="auto" w:fill="auto"/>
            <w:vAlign w:val="center"/>
          </w:tcPr>
          <w:p w14:paraId="47D6EA3E">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农艺师</w:t>
            </w:r>
          </w:p>
        </w:tc>
        <w:tc>
          <w:tcPr>
            <w:tcW w:w="2253" w:type="dxa"/>
            <w:vAlign w:val="center"/>
          </w:tcPr>
          <w:p w14:paraId="21403E97">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05281531">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标准编制</w:t>
            </w:r>
          </w:p>
        </w:tc>
      </w:tr>
      <w:tr w14:paraId="377528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61B73FA3">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卢沛临</w:t>
            </w:r>
          </w:p>
        </w:tc>
        <w:tc>
          <w:tcPr>
            <w:tcW w:w="768" w:type="dxa"/>
            <w:shd w:val="clear" w:color="auto" w:fill="auto"/>
            <w:vAlign w:val="center"/>
          </w:tcPr>
          <w:p w14:paraId="1A0C5D8B">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男</w:t>
            </w:r>
          </w:p>
        </w:tc>
        <w:tc>
          <w:tcPr>
            <w:tcW w:w="1987" w:type="dxa"/>
            <w:shd w:val="clear" w:color="auto" w:fill="auto"/>
            <w:vAlign w:val="center"/>
          </w:tcPr>
          <w:p w14:paraId="38E9FDB6">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助理工程师</w:t>
            </w:r>
          </w:p>
        </w:tc>
        <w:tc>
          <w:tcPr>
            <w:tcW w:w="2253" w:type="dxa"/>
            <w:vAlign w:val="center"/>
          </w:tcPr>
          <w:p w14:paraId="1358A302">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4045CC3C">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标准编制</w:t>
            </w:r>
          </w:p>
        </w:tc>
      </w:tr>
      <w:tr w14:paraId="16F5A4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213B4B5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曹祖耀</w:t>
            </w:r>
          </w:p>
        </w:tc>
        <w:tc>
          <w:tcPr>
            <w:tcW w:w="768" w:type="dxa"/>
            <w:shd w:val="clear" w:color="auto" w:fill="auto"/>
            <w:vAlign w:val="center"/>
          </w:tcPr>
          <w:p w14:paraId="3FA73843">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男</w:t>
            </w:r>
          </w:p>
        </w:tc>
        <w:tc>
          <w:tcPr>
            <w:tcW w:w="1987" w:type="dxa"/>
            <w:shd w:val="clear" w:color="auto" w:fill="auto"/>
            <w:vAlign w:val="center"/>
          </w:tcPr>
          <w:p w14:paraId="51D9C70E">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助理工程师</w:t>
            </w:r>
          </w:p>
        </w:tc>
        <w:tc>
          <w:tcPr>
            <w:tcW w:w="2253" w:type="dxa"/>
            <w:vAlign w:val="center"/>
          </w:tcPr>
          <w:p w14:paraId="73CF201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368AB028">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标准编制</w:t>
            </w:r>
          </w:p>
        </w:tc>
      </w:tr>
      <w:tr w14:paraId="27BFB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10ED1097">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李润杰</w:t>
            </w:r>
          </w:p>
        </w:tc>
        <w:tc>
          <w:tcPr>
            <w:tcW w:w="768" w:type="dxa"/>
            <w:shd w:val="clear" w:color="auto" w:fill="auto"/>
            <w:vAlign w:val="center"/>
          </w:tcPr>
          <w:p w14:paraId="03C811E8">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男</w:t>
            </w:r>
          </w:p>
        </w:tc>
        <w:tc>
          <w:tcPr>
            <w:tcW w:w="1987" w:type="dxa"/>
            <w:shd w:val="clear" w:color="auto" w:fill="auto"/>
            <w:vAlign w:val="center"/>
          </w:tcPr>
          <w:p w14:paraId="289AC04D">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助理工程师</w:t>
            </w:r>
          </w:p>
        </w:tc>
        <w:tc>
          <w:tcPr>
            <w:tcW w:w="2253" w:type="dxa"/>
            <w:vAlign w:val="center"/>
          </w:tcPr>
          <w:p w14:paraId="36BA4AA7">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4E410672">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标准编制</w:t>
            </w:r>
          </w:p>
        </w:tc>
      </w:tr>
      <w:tr w14:paraId="1CD292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5ECD06F7">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东 梅</w:t>
            </w:r>
          </w:p>
        </w:tc>
        <w:tc>
          <w:tcPr>
            <w:tcW w:w="768" w:type="dxa"/>
            <w:shd w:val="clear" w:color="auto" w:fill="auto"/>
            <w:vAlign w:val="center"/>
          </w:tcPr>
          <w:p w14:paraId="238631E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女</w:t>
            </w:r>
          </w:p>
        </w:tc>
        <w:tc>
          <w:tcPr>
            <w:tcW w:w="1987" w:type="dxa"/>
            <w:shd w:val="clear" w:color="auto" w:fill="auto"/>
            <w:vAlign w:val="center"/>
          </w:tcPr>
          <w:p w14:paraId="57FC5836">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助理农艺师</w:t>
            </w:r>
          </w:p>
        </w:tc>
        <w:tc>
          <w:tcPr>
            <w:tcW w:w="2253" w:type="dxa"/>
            <w:vAlign w:val="center"/>
          </w:tcPr>
          <w:p w14:paraId="73A80C9E">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02D38DFE">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征求意见及意见收集</w:t>
            </w:r>
          </w:p>
        </w:tc>
      </w:tr>
      <w:tr w14:paraId="6A0DD5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0F20472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罗静馨</w:t>
            </w:r>
          </w:p>
        </w:tc>
        <w:tc>
          <w:tcPr>
            <w:tcW w:w="768" w:type="dxa"/>
            <w:shd w:val="clear" w:color="auto" w:fill="auto"/>
            <w:vAlign w:val="center"/>
          </w:tcPr>
          <w:p w14:paraId="7C390253">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女</w:t>
            </w:r>
          </w:p>
        </w:tc>
        <w:tc>
          <w:tcPr>
            <w:tcW w:w="1987" w:type="dxa"/>
            <w:shd w:val="clear" w:color="auto" w:fill="auto"/>
            <w:vAlign w:val="center"/>
          </w:tcPr>
          <w:p w14:paraId="03254BA2">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会计师/审计师</w:t>
            </w:r>
          </w:p>
          <w:p w14:paraId="3A0372B0">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/经济师</w:t>
            </w:r>
          </w:p>
        </w:tc>
        <w:tc>
          <w:tcPr>
            <w:tcW w:w="2253" w:type="dxa"/>
            <w:vAlign w:val="center"/>
          </w:tcPr>
          <w:p w14:paraId="0CED0B21">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云南省烟草烟叶公司</w:t>
            </w:r>
          </w:p>
        </w:tc>
        <w:tc>
          <w:tcPr>
            <w:tcW w:w="2074" w:type="dxa"/>
            <w:shd w:val="clear" w:color="auto" w:fill="auto"/>
            <w:vAlign w:val="center"/>
          </w:tcPr>
          <w:p w14:paraId="77034CE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财务管理</w:t>
            </w:r>
          </w:p>
        </w:tc>
      </w:tr>
      <w:tr w14:paraId="5C70B5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54CDFFC4">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宋同文</w:t>
            </w:r>
          </w:p>
        </w:tc>
        <w:tc>
          <w:tcPr>
            <w:tcW w:w="768" w:type="dxa"/>
            <w:shd w:val="clear" w:color="auto" w:fill="auto"/>
            <w:vAlign w:val="center"/>
          </w:tcPr>
          <w:p w14:paraId="499CC677">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男</w:t>
            </w:r>
          </w:p>
        </w:tc>
        <w:tc>
          <w:tcPr>
            <w:tcW w:w="1987" w:type="dxa"/>
            <w:shd w:val="clear" w:color="auto" w:fill="auto"/>
            <w:vAlign w:val="center"/>
          </w:tcPr>
          <w:p w14:paraId="2FAA4BAF">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工程师</w:t>
            </w:r>
          </w:p>
        </w:tc>
        <w:tc>
          <w:tcPr>
            <w:tcW w:w="2253" w:type="dxa"/>
            <w:vAlign w:val="center"/>
          </w:tcPr>
          <w:p w14:paraId="4560FB82">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颐中（青岛）物流有限公司</w:t>
            </w:r>
          </w:p>
        </w:tc>
        <w:tc>
          <w:tcPr>
            <w:tcW w:w="2074" w:type="dxa"/>
            <w:vAlign w:val="center"/>
          </w:tcPr>
          <w:p w14:paraId="59ACE906">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标准及编制说明编写</w:t>
            </w:r>
          </w:p>
        </w:tc>
      </w:tr>
      <w:tr w14:paraId="6204E0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375B8004">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王佳麒</w:t>
            </w:r>
          </w:p>
        </w:tc>
        <w:tc>
          <w:tcPr>
            <w:tcW w:w="768" w:type="dxa"/>
            <w:shd w:val="clear" w:color="auto" w:fill="auto"/>
            <w:vAlign w:val="center"/>
          </w:tcPr>
          <w:p w14:paraId="67856919">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男</w:t>
            </w:r>
          </w:p>
        </w:tc>
        <w:tc>
          <w:tcPr>
            <w:tcW w:w="1987" w:type="dxa"/>
            <w:shd w:val="clear" w:color="auto" w:fill="auto"/>
            <w:vAlign w:val="center"/>
          </w:tcPr>
          <w:p w14:paraId="63206421">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高级工程师</w:t>
            </w:r>
          </w:p>
        </w:tc>
        <w:tc>
          <w:tcPr>
            <w:tcW w:w="2253" w:type="dxa"/>
            <w:vAlign w:val="center"/>
          </w:tcPr>
          <w:p w14:paraId="051D7E9B">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云南省标准化研究院</w:t>
            </w:r>
          </w:p>
        </w:tc>
        <w:tc>
          <w:tcPr>
            <w:tcW w:w="2074" w:type="dxa"/>
            <w:shd w:val="clear" w:color="auto" w:fill="auto"/>
            <w:vAlign w:val="center"/>
          </w:tcPr>
          <w:p w14:paraId="643BDB2E">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标准及编制说明编写</w:t>
            </w:r>
          </w:p>
        </w:tc>
      </w:tr>
      <w:tr w14:paraId="3DAAA2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63A208B3">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赵阳楠</w:t>
            </w:r>
          </w:p>
        </w:tc>
        <w:tc>
          <w:tcPr>
            <w:tcW w:w="768" w:type="dxa"/>
            <w:shd w:val="clear" w:color="auto" w:fill="auto"/>
            <w:vAlign w:val="center"/>
          </w:tcPr>
          <w:p w14:paraId="4CE49D06">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highlight w:val="yellow"/>
                <w:lang w:val="en-US" w:eastAsia="zh-CN"/>
              </w:rPr>
            </w:pPr>
            <w:r>
              <w:rPr>
                <w:rFonts w:hint="eastAsia" w:ascii="宋体" w:hAnsi="宋体" w:eastAsia="宋体" w:cs="宋体"/>
                <w:sz w:val="21"/>
                <w:szCs w:val="21"/>
                <w:highlight w:val="none"/>
                <w:lang w:val="en-US" w:eastAsia="zh-CN"/>
              </w:rPr>
              <w:t>女</w:t>
            </w:r>
          </w:p>
        </w:tc>
        <w:tc>
          <w:tcPr>
            <w:tcW w:w="1987" w:type="dxa"/>
            <w:shd w:val="clear" w:color="auto" w:fill="auto"/>
            <w:vAlign w:val="center"/>
          </w:tcPr>
          <w:p w14:paraId="351D6BA0">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正高级工程师</w:t>
            </w:r>
          </w:p>
        </w:tc>
        <w:tc>
          <w:tcPr>
            <w:tcW w:w="2253" w:type="dxa"/>
            <w:vAlign w:val="center"/>
          </w:tcPr>
          <w:p w14:paraId="5BB8CBFB">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云南省标准化研究院</w:t>
            </w:r>
          </w:p>
        </w:tc>
        <w:tc>
          <w:tcPr>
            <w:tcW w:w="2074" w:type="dxa"/>
            <w:shd w:val="clear" w:color="auto" w:fill="auto"/>
            <w:vAlign w:val="center"/>
          </w:tcPr>
          <w:p w14:paraId="2A67D5D7">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标准及编制说明编写</w:t>
            </w:r>
          </w:p>
        </w:tc>
      </w:tr>
      <w:tr w14:paraId="6DE36B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063349FC">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崔继梅</w:t>
            </w:r>
          </w:p>
        </w:tc>
        <w:tc>
          <w:tcPr>
            <w:tcW w:w="768" w:type="dxa"/>
            <w:shd w:val="clear" w:color="auto" w:fill="auto"/>
            <w:vAlign w:val="center"/>
          </w:tcPr>
          <w:p w14:paraId="506AED10">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女</w:t>
            </w:r>
          </w:p>
        </w:tc>
        <w:tc>
          <w:tcPr>
            <w:tcW w:w="1987" w:type="dxa"/>
            <w:shd w:val="clear" w:color="auto" w:fill="auto"/>
            <w:vAlign w:val="center"/>
          </w:tcPr>
          <w:p w14:paraId="3E7B1AB6">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高级工程师</w:t>
            </w:r>
          </w:p>
        </w:tc>
        <w:tc>
          <w:tcPr>
            <w:tcW w:w="2253" w:type="dxa"/>
            <w:vAlign w:val="center"/>
          </w:tcPr>
          <w:p w14:paraId="1DE4B9B8">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云南省标准化研究院</w:t>
            </w:r>
          </w:p>
        </w:tc>
        <w:tc>
          <w:tcPr>
            <w:tcW w:w="2074" w:type="dxa"/>
            <w:shd w:val="clear" w:color="auto" w:fill="auto"/>
            <w:vAlign w:val="center"/>
          </w:tcPr>
          <w:p w14:paraId="34FA0CD4">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标准及编制说明编写</w:t>
            </w:r>
          </w:p>
        </w:tc>
      </w:tr>
      <w:tr w14:paraId="3E9D5F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3AB42A07">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聂 晶</w:t>
            </w:r>
          </w:p>
        </w:tc>
        <w:tc>
          <w:tcPr>
            <w:tcW w:w="768" w:type="dxa"/>
            <w:shd w:val="clear" w:color="auto" w:fill="auto"/>
            <w:vAlign w:val="center"/>
          </w:tcPr>
          <w:p w14:paraId="697D716A">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女</w:t>
            </w:r>
          </w:p>
        </w:tc>
        <w:tc>
          <w:tcPr>
            <w:tcW w:w="1987" w:type="dxa"/>
            <w:shd w:val="clear" w:color="auto" w:fill="auto"/>
            <w:vAlign w:val="center"/>
          </w:tcPr>
          <w:p w14:paraId="7C54E062">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正高级工程师</w:t>
            </w:r>
          </w:p>
        </w:tc>
        <w:tc>
          <w:tcPr>
            <w:tcW w:w="2253" w:type="dxa"/>
            <w:vAlign w:val="center"/>
          </w:tcPr>
          <w:p w14:paraId="52A471CE">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云南省标准化研究院</w:t>
            </w:r>
          </w:p>
        </w:tc>
        <w:tc>
          <w:tcPr>
            <w:tcW w:w="2074" w:type="dxa"/>
            <w:shd w:val="clear" w:color="auto" w:fill="auto"/>
            <w:vAlign w:val="center"/>
          </w:tcPr>
          <w:p w14:paraId="68ACE9ED">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标准及编制说明编写</w:t>
            </w:r>
          </w:p>
        </w:tc>
      </w:tr>
      <w:tr w14:paraId="203398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1135" w:type="dxa"/>
            <w:shd w:val="clear" w:color="auto" w:fill="auto"/>
            <w:vAlign w:val="center"/>
          </w:tcPr>
          <w:p w14:paraId="58E0146B">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王 浩</w:t>
            </w:r>
          </w:p>
        </w:tc>
        <w:tc>
          <w:tcPr>
            <w:tcW w:w="768" w:type="dxa"/>
            <w:shd w:val="clear" w:color="auto" w:fill="auto"/>
            <w:vAlign w:val="center"/>
          </w:tcPr>
          <w:p w14:paraId="0C6C6B49">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男</w:t>
            </w:r>
          </w:p>
        </w:tc>
        <w:tc>
          <w:tcPr>
            <w:tcW w:w="1987" w:type="dxa"/>
            <w:shd w:val="clear" w:color="auto" w:fill="auto"/>
            <w:vAlign w:val="center"/>
          </w:tcPr>
          <w:p w14:paraId="5A9D359E">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助理工程师</w:t>
            </w:r>
          </w:p>
        </w:tc>
        <w:tc>
          <w:tcPr>
            <w:tcW w:w="2253" w:type="dxa"/>
            <w:vAlign w:val="center"/>
          </w:tcPr>
          <w:p w14:paraId="3CF091C0">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云南省标准化研究院</w:t>
            </w:r>
          </w:p>
        </w:tc>
        <w:tc>
          <w:tcPr>
            <w:tcW w:w="2074" w:type="dxa"/>
            <w:shd w:val="clear" w:color="auto" w:fill="auto"/>
            <w:vAlign w:val="center"/>
          </w:tcPr>
          <w:p w14:paraId="73B52199">
            <w:pPr>
              <w:pageBreakBefore w:val="0"/>
              <w:widowControl w:val="0"/>
              <w:kinsoku/>
              <w:wordWrap/>
              <w:overflowPunct/>
              <w:topLinePunct w:val="0"/>
              <w:autoSpaceDE/>
              <w:autoSpaceDN/>
              <w:bidi w:val="0"/>
              <w:adjustRightInd/>
              <w:snapToGrid/>
              <w:spacing w:line="240" w:lineRule="auto"/>
              <w:ind w:right="0"/>
              <w:jc w:val="center"/>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标准及编制说明编写</w:t>
            </w:r>
          </w:p>
        </w:tc>
      </w:tr>
    </w:tbl>
    <w:p w14:paraId="55CFDEA8">
      <w:pPr>
        <w:pStyle w:val="3"/>
        <w:keepNext/>
        <w:keepLines/>
        <w:pageBreakBefore w:val="0"/>
        <w:widowControl w:val="0"/>
        <w:numPr>
          <w:ilvl w:val="0"/>
          <w:numId w:val="0"/>
        </w:numPr>
        <w:kinsoku/>
        <w:wordWrap/>
        <w:overflowPunct/>
        <w:topLinePunct w:val="0"/>
        <w:autoSpaceDE/>
        <w:autoSpaceDN/>
        <w:bidi w:val="0"/>
        <w:adjustRightInd/>
        <w:snapToGrid/>
        <w:spacing w:before="0" w:after="0" w:line="240" w:lineRule="auto"/>
        <w:textAlignment w:val="auto"/>
        <w:rPr>
          <w:rFonts w:hint="eastAsia" w:ascii="Arial" w:hAnsi="Arial"/>
          <w:b w:val="0"/>
          <w:lang w:val="en-US" w:eastAsia="zh-CN"/>
        </w:rPr>
      </w:pPr>
    </w:p>
    <w:p w14:paraId="1A61F813">
      <w:pPr>
        <w:pStyle w:val="3"/>
        <w:keepNext/>
        <w:keepLines/>
        <w:pageBreakBefore w:val="0"/>
        <w:widowControl w:val="0"/>
        <w:numPr>
          <w:ilvl w:val="0"/>
          <w:numId w:val="4"/>
        </w:numPr>
        <w:kinsoku/>
        <w:wordWrap/>
        <w:overflowPunct/>
        <w:topLinePunct w:val="0"/>
        <w:autoSpaceDE/>
        <w:autoSpaceDN/>
        <w:bidi w:val="0"/>
        <w:adjustRightInd/>
        <w:snapToGrid/>
        <w:spacing w:before="0" w:after="0" w:line="240" w:lineRule="auto"/>
        <w:ind w:firstLine="640" w:firstLineChars="200"/>
        <w:textAlignment w:val="auto"/>
        <w:rPr>
          <w:rFonts w:hint="default"/>
          <w:lang w:val="en-US" w:eastAsia="zh-CN"/>
        </w:rPr>
      </w:pPr>
      <w:r>
        <w:rPr>
          <w:rFonts w:hint="eastAsia" w:ascii="Arial" w:hAnsi="Arial"/>
          <w:b w:val="0"/>
          <w:lang w:val="en-US" w:eastAsia="zh-CN"/>
        </w:rPr>
        <w:t>制定标准的必要性和目的意义</w:t>
      </w:r>
    </w:p>
    <w:p w14:paraId="4A91673F">
      <w:pPr>
        <w:pStyle w:val="4"/>
        <w:numPr>
          <w:ilvl w:val="0"/>
          <w:numId w:val="6"/>
        </w:numPr>
        <w:bidi w:val="0"/>
        <w:ind w:firstLine="720"/>
        <w:rPr>
          <w:rFonts w:hint="eastAsia"/>
          <w:lang w:val="en-US" w:eastAsia="zh-CN"/>
        </w:rPr>
      </w:pPr>
      <w:r>
        <w:rPr>
          <w:rFonts w:hint="eastAsia"/>
          <w:lang w:val="en-US" w:eastAsia="zh-CN"/>
        </w:rPr>
        <w:t>战略地位与产业需求</w:t>
      </w:r>
    </w:p>
    <w:p w14:paraId="65E4C2F7">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方正仿宋_GB2312" w:hAnsi="方正仿宋_GB2312" w:eastAsia="方正仿宋_GB2312" w:cs="方正仿宋_GB2312"/>
          <w:b w:val="0"/>
          <w:sz w:val="32"/>
          <w:szCs w:val="32"/>
          <w:lang w:val="en-US" w:eastAsia="zh-CN"/>
        </w:rPr>
      </w:pPr>
      <w:r>
        <w:rPr>
          <w:rFonts w:hint="eastAsia" w:ascii="方正仿宋_GB2312" w:hAnsi="方正仿宋_GB2312" w:eastAsia="方正仿宋_GB2312" w:cs="方正仿宋_GB2312"/>
          <w:b w:val="0"/>
          <w:sz w:val="32"/>
          <w:szCs w:val="32"/>
          <w:lang w:val="en-US" w:eastAsia="zh-CN"/>
        </w:rPr>
        <w:t>云南烟草产业作为全省经济支柱，2023年，全国烟草行业税利总额达15,217亿元，其中云南贡献1,200亿元，占全省财政收入的50%。根据云南省委、省政府《关于加快构建现代化产业体系的决定》，烟草产业被列为千亿级特色优势产业，是建设现代化产业强省的核心支撑。《云南省"十四五"烟草产业发展规划》</w:t>
      </w:r>
      <w:r>
        <w:rPr>
          <w:rFonts w:hint="eastAsia" w:ascii="方正仿宋_GB2312" w:hAnsi="方正仿宋_GB2312" w:cs="方正仿宋_GB2312"/>
          <w:b w:val="0"/>
          <w:sz w:val="32"/>
          <w:szCs w:val="32"/>
          <w:lang w:val="en-US" w:eastAsia="zh-CN"/>
        </w:rPr>
        <w:t>提出</w:t>
      </w:r>
      <w:r>
        <w:rPr>
          <w:rFonts w:hint="eastAsia" w:ascii="方正仿宋_GB2312" w:hAnsi="方正仿宋_GB2312" w:eastAsia="方正仿宋_GB2312" w:cs="方正仿宋_GB2312"/>
          <w:b w:val="0"/>
          <w:sz w:val="32"/>
          <w:szCs w:val="32"/>
          <w:lang w:val="en-US" w:eastAsia="zh-CN"/>
        </w:rPr>
        <w:t>，到2025年需实现工业营业收入突破1600亿元目标，巩固云南烟叶在全国原料供给体系中的主导地位。当前产业正处于智能化、绿色化、数字化转型关键期，仓储环节作为衔接生产与流通的核心节点，其标准化建设直接关系产业链现代化水平提升。</w:t>
      </w:r>
    </w:p>
    <w:p w14:paraId="1D31CC93">
      <w:pPr>
        <w:pStyle w:val="4"/>
        <w:numPr>
          <w:ilvl w:val="0"/>
          <w:numId w:val="6"/>
        </w:numPr>
        <w:bidi w:val="0"/>
        <w:ind w:firstLine="720"/>
        <w:rPr>
          <w:rFonts w:hint="eastAsia"/>
          <w:lang w:val="en-US" w:eastAsia="zh-CN"/>
        </w:rPr>
      </w:pPr>
      <w:r>
        <w:rPr>
          <w:rFonts w:hint="eastAsia"/>
          <w:lang w:val="en-US" w:eastAsia="zh-CN"/>
        </w:rPr>
        <w:t>地域特性与防控挑战</w:t>
      </w:r>
    </w:p>
    <w:p w14:paraId="7352CE86">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方正仿宋_GB2312" w:hAnsi="方正仿宋_GB2312" w:eastAsia="方正仿宋_GB2312" w:cs="方正仿宋_GB2312"/>
          <w:b w:val="0"/>
          <w:sz w:val="32"/>
          <w:szCs w:val="32"/>
          <w:lang w:val="en-US" w:eastAsia="zh-CN"/>
        </w:rPr>
      </w:pPr>
      <w:r>
        <w:rPr>
          <w:rFonts w:hint="eastAsia" w:ascii="方正仿宋_GB2312" w:hAnsi="方正仿宋_GB2312" w:eastAsia="方正仿宋_GB2312" w:cs="方正仿宋_GB2312"/>
          <w:b w:val="0"/>
          <w:kern w:val="2"/>
          <w:sz w:val="32"/>
          <w:szCs w:val="32"/>
          <w:lang w:val="en-US" w:eastAsia="zh-CN" w:bidi="ar-SA"/>
        </w:rPr>
        <w:t>云南作为国内烟草行业最大原料供应地，产业地位特殊，承担全国最大烟叶储量及跨省代保管业务，</w:t>
      </w:r>
      <w:r>
        <w:rPr>
          <w:rFonts w:hint="eastAsia" w:ascii="方正仿宋_GB2312" w:hAnsi="方正仿宋_GB2312" w:eastAsia="方正仿宋_GB2312" w:cs="方正仿宋_GB2312"/>
          <w:b w:val="0"/>
          <w:sz w:val="32"/>
          <w:szCs w:val="32"/>
          <w:lang w:val="en-US" w:eastAsia="zh-CN"/>
        </w:rPr>
        <w:t>独特的高原季风气候适宜烟叶</w:t>
      </w:r>
      <w:r>
        <w:rPr>
          <w:rFonts w:hint="eastAsia" w:ascii="方正仿宋_GB2312" w:hAnsi="方正仿宋_GB2312" w:cs="方正仿宋_GB2312"/>
          <w:b w:val="0"/>
          <w:sz w:val="32"/>
          <w:szCs w:val="32"/>
          <w:lang w:val="en-US" w:eastAsia="zh-CN"/>
        </w:rPr>
        <w:t>自然</w:t>
      </w:r>
      <w:r>
        <w:rPr>
          <w:rFonts w:hint="eastAsia" w:ascii="方正仿宋_GB2312" w:hAnsi="方正仿宋_GB2312" w:eastAsia="方正仿宋_GB2312" w:cs="方正仿宋_GB2312"/>
          <w:b w:val="0"/>
          <w:sz w:val="32"/>
          <w:szCs w:val="32"/>
          <w:lang w:val="en-US" w:eastAsia="zh-CN"/>
        </w:rPr>
        <w:t>醇化储存，但年均温15-20℃、相对湿度70%-80%的温润条件，客观上形成了烟草甲</w:t>
      </w:r>
      <w:r>
        <w:rPr>
          <w:rFonts w:ascii="Times New Roman" w:hAnsi="Times New Roman" w:eastAsia="Times New Roman" w:cs="Times New Roman"/>
          <w:i/>
          <w:iCs/>
          <w:spacing w:val="-6"/>
          <w:sz w:val="32"/>
          <w:szCs w:val="32"/>
        </w:rPr>
        <w:t>Lasioderma serricorne</w:t>
      </w:r>
      <w:r>
        <w:rPr>
          <w:rFonts w:hint="eastAsia" w:ascii="方正仿宋_GB2312" w:hAnsi="方正仿宋_GB2312" w:eastAsia="方正仿宋_GB2312" w:cs="方正仿宋_GB2312"/>
          <w:b w:val="0"/>
          <w:sz w:val="32"/>
          <w:szCs w:val="32"/>
          <w:lang w:val="en-US" w:eastAsia="zh-CN"/>
        </w:rPr>
        <w:t>、烟草粉螟</w:t>
      </w:r>
      <w:r>
        <w:rPr>
          <w:rFonts w:ascii="Times New Roman" w:hAnsi="Times New Roman" w:eastAsia="Times New Roman" w:cs="Times New Roman"/>
          <w:i/>
          <w:iCs/>
          <w:spacing w:val="-6"/>
          <w:sz w:val="32"/>
          <w:szCs w:val="32"/>
        </w:rPr>
        <w:t>Eph</w:t>
      </w:r>
      <w:r>
        <w:rPr>
          <w:rFonts w:ascii="Times New Roman" w:hAnsi="Times New Roman" w:eastAsia="Times New Roman" w:cs="Times New Roman"/>
          <w:i/>
          <w:iCs/>
          <w:spacing w:val="-7"/>
          <w:sz w:val="32"/>
          <w:szCs w:val="32"/>
        </w:rPr>
        <w:t>estia elutella</w:t>
      </w:r>
      <w:r>
        <w:rPr>
          <w:rFonts w:hint="eastAsia" w:ascii="方正仿宋_GB2312" w:hAnsi="方正仿宋_GB2312" w:eastAsia="方正仿宋_GB2312" w:cs="方正仿宋_GB2312"/>
          <w:b w:val="0"/>
          <w:sz w:val="32"/>
          <w:szCs w:val="32"/>
          <w:lang w:val="en-US" w:eastAsia="zh-CN"/>
        </w:rPr>
        <w:t>等仓储害虫的高发规律，现有防控技术</w:t>
      </w:r>
      <w:r>
        <w:rPr>
          <w:rFonts w:hint="eastAsia" w:ascii="方正仿宋_GB2312" w:hAnsi="方正仿宋_GB2312" w:cs="方正仿宋_GB2312"/>
          <w:b w:val="0"/>
          <w:sz w:val="32"/>
          <w:szCs w:val="32"/>
          <w:lang w:val="en-US" w:eastAsia="zh-CN"/>
        </w:rPr>
        <w:t>，</w:t>
      </w:r>
      <w:r>
        <w:rPr>
          <w:rFonts w:hint="eastAsia" w:ascii="方正仿宋_GB2312" w:hAnsi="方正仿宋_GB2312" w:eastAsia="方正仿宋_GB2312" w:cs="方正仿宋_GB2312"/>
          <w:b w:val="0"/>
          <w:sz w:val="32"/>
          <w:szCs w:val="32"/>
          <w:lang w:val="en-US" w:eastAsia="zh-CN"/>
        </w:rPr>
        <w:t>在虫情监测精度、生物防治适配性</w:t>
      </w:r>
      <w:r>
        <w:rPr>
          <w:rFonts w:hint="eastAsia" w:ascii="方正仿宋_GB2312" w:hAnsi="方正仿宋_GB2312" w:cs="方正仿宋_GB2312"/>
          <w:b w:val="0"/>
          <w:sz w:val="32"/>
          <w:szCs w:val="32"/>
          <w:lang w:val="en-US" w:eastAsia="zh-CN"/>
        </w:rPr>
        <w:t>、存储环境适配度</w:t>
      </w:r>
      <w:r>
        <w:rPr>
          <w:rFonts w:hint="eastAsia" w:ascii="方正仿宋_GB2312" w:hAnsi="方正仿宋_GB2312" w:eastAsia="方正仿宋_GB2312" w:cs="方正仿宋_GB2312"/>
          <w:b w:val="0"/>
          <w:sz w:val="32"/>
          <w:szCs w:val="32"/>
          <w:lang w:val="en-US" w:eastAsia="zh-CN"/>
        </w:rPr>
        <w:t>等方面存在明显地域性短板，亟需建立符合云南气候特征的防控技术体系。</w:t>
      </w:r>
    </w:p>
    <w:p w14:paraId="3AA3CD47">
      <w:pPr>
        <w:pStyle w:val="4"/>
        <w:numPr>
          <w:ilvl w:val="0"/>
          <w:numId w:val="6"/>
        </w:numPr>
        <w:bidi w:val="0"/>
        <w:ind w:firstLine="720"/>
        <w:rPr>
          <w:rFonts w:hint="eastAsia"/>
          <w:lang w:val="en-US" w:eastAsia="zh-CN"/>
        </w:rPr>
      </w:pPr>
      <w:r>
        <w:rPr>
          <w:rFonts w:hint="eastAsia"/>
          <w:lang w:val="en-US" w:eastAsia="zh-CN"/>
        </w:rPr>
        <w:t>质量风险与标准缺失</w:t>
      </w:r>
    </w:p>
    <w:p w14:paraId="101F8C40">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方正仿宋_GB2312" w:hAnsi="方正仿宋_GB2312" w:cs="方正仿宋_GB2312"/>
          <w:b w:val="0"/>
          <w:sz w:val="32"/>
          <w:szCs w:val="32"/>
          <w:lang w:val="en-US" w:eastAsia="zh-CN"/>
        </w:rPr>
      </w:pPr>
      <w:r>
        <w:rPr>
          <w:rFonts w:hint="eastAsia" w:ascii="方正仿宋_GB2312" w:hAnsi="方正仿宋_GB2312" w:eastAsia="方正仿宋_GB2312" w:cs="方正仿宋_GB2312"/>
          <w:b w:val="0"/>
          <w:sz w:val="32"/>
          <w:szCs w:val="32"/>
          <w:lang w:val="en-US" w:eastAsia="zh-CN"/>
        </w:rPr>
        <w:t>我国</w:t>
      </w:r>
      <w:r>
        <w:rPr>
          <w:rFonts w:hint="eastAsia" w:ascii="方正仿宋_GB2312" w:hAnsi="方正仿宋_GB2312" w:cs="方正仿宋_GB2312"/>
          <w:b w:val="0"/>
          <w:sz w:val="32"/>
          <w:szCs w:val="32"/>
          <w:lang w:val="en-US" w:eastAsia="zh-CN"/>
        </w:rPr>
        <w:t>每年因烟草害虫造成的</w:t>
      </w:r>
      <w:r>
        <w:rPr>
          <w:rFonts w:hint="eastAsia" w:ascii="方正仿宋_GB2312" w:hAnsi="方正仿宋_GB2312" w:eastAsia="方正仿宋_GB2312" w:cs="方正仿宋_GB2312"/>
          <w:b w:val="0"/>
          <w:sz w:val="32"/>
          <w:szCs w:val="32"/>
          <w:lang w:val="en-US" w:eastAsia="zh-CN"/>
        </w:rPr>
        <w:t>仓储烟叶</w:t>
      </w:r>
      <w:r>
        <w:rPr>
          <w:rFonts w:hint="eastAsia" w:ascii="方正仿宋_GB2312" w:hAnsi="方正仿宋_GB2312" w:cs="方正仿宋_GB2312"/>
          <w:b w:val="0"/>
          <w:sz w:val="32"/>
          <w:szCs w:val="32"/>
          <w:lang w:val="en-US" w:eastAsia="zh-CN"/>
        </w:rPr>
        <w:t>损失</w:t>
      </w:r>
      <w:r>
        <w:rPr>
          <w:rFonts w:hint="eastAsia" w:ascii="方正仿宋_GB2312" w:hAnsi="方正仿宋_GB2312" w:eastAsia="方正仿宋_GB2312" w:cs="方正仿宋_GB2312"/>
          <w:b w:val="0"/>
          <w:sz w:val="32"/>
          <w:szCs w:val="32"/>
          <w:lang w:val="en-US" w:eastAsia="zh-CN"/>
        </w:rPr>
        <w:t>约</w:t>
      </w:r>
      <w:r>
        <w:rPr>
          <w:rFonts w:hint="eastAsia" w:ascii="方正仿宋_GB2312" w:hAnsi="方正仿宋_GB2312" w:cs="方正仿宋_GB2312"/>
          <w:b w:val="0"/>
          <w:sz w:val="32"/>
          <w:szCs w:val="32"/>
          <w:lang w:val="en-US" w:eastAsia="zh-CN"/>
        </w:rPr>
        <w:t>为</w:t>
      </w:r>
      <w:r>
        <w:rPr>
          <w:rFonts w:hint="eastAsia" w:ascii="方正仿宋_GB2312" w:hAnsi="方正仿宋_GB2312" w:eastAsia="方正仿宋_GB2312" w:cs="方正仿宋_GB2312"/>
          <w:b w:val="0"/>
          <w:sz w:val="32"/>
          <w:szCs w:val="32"/>
          <w:lang w:val="en-US" w:eastAsia="zh-CN"/>
        </w:rPr>
        <w:t>1.64%</w:t>
      </w:r>
      <w:r>
        <w:rPr>
          <w:rFonts w:hint="eastAsia" w:ascii="方正仿宋_GB2312" w:hAnsi="方正仿宋_GB2312" w:cs="方正仿宋_GB2312"/>
          <w:b w:val="0"/>
          <w:sz w:val="32"/>
          <w:szCs w:val="32"/>
          <w:lang w:val="en-US" w:eastAsia="zh-CN"/>
        </w:rPr>
        <w:t>，</w:t>
      </w:r>
      <w:r>
        <w:rPr>
          <w:rFonts w:hint="eastAsia" w:ascii="方正仿宋_GB2312" w:hAnsi="方正仿宋_GB2312" w:eastAsia="方正仿宋_GB2312" w:cs="方正仿宋_GB2312"/>
          <w:b w:val="0"/>
          <w:sz w:val="32"/>
          <w:szCs w:val="32"/>
          <w:lang w:val="en-US" w:eastAsia="zh-CN"/>
        </w:rPr>
        <w:t>经济价值高达3亿元以上。害虫以虫尸、虫粪等污染降低烟叶成丝率；留有蛀孔并导致烟支漏气，危害成品卷烟，影响卷烟外观质量，阻碍卷烟品牌的健康发展。</w:t>
      </w:r>
      <w:r>
        <w:rPr>
          <w:rFonts w:hint="eastAsia" w:ascii="方正仿宋_GB2312" w:hAnsi="方正仿宋_GB2312" w:cs="方正仿宋_GB2312"/>
          <w:b w:val="0"/>
          <w:sz w:val="32"/>
          <w:szCs w:val="32"/>
          <w:lang w:val="en-US" w:eastAsia="zh-CN"/>
        </w:rPr>
        <w:t>同时</w:t>
      </w:r>
      <w:r>
        <w:rPr>
          <w:rFonts w:hint="eastAsia" w:ascii="方正仿宋_GB2312" w:hAnsi="方正仿宋_GB2312" w:cs="方正仿宋_GB2312"/>
          <w:lang w:val="en-US" w:eastAsia="zh-CN"/>
        </w:rPr>
        <w:t>烟草行业近年来对标准化生产的要求越来越高，工业商业企业都在积极推进标准化工作。打叶复烤企业的标准化工作同样越来越受到行业上下的重视，烟叶仓储过程中的害虫防控作为企业标准化工作的一部分，</w:t>
      </w:r>
      <w:r>
        <w:rPr>
          <w:rFonts w:hint="eastAsia" w:ascii="方正仿宋_GB2312" w:hAnsi="方正仿宋_GB2312" w:eastAsia="方正仿宋_GB2312" w:cs="方正仿宋_GB2312"/>
          <w:b w:val="0"/>
          <w:sz w:val="32"/>
          <w:szCs w:val="32"/>
          <w:lang w:val="en-US" w:eastAsia="zh-CN"/>
        </w:rPr>
        <w:t>缺乏统一标准</w:t>
      </w:r>
      <w:r>
        <w:rPr>
          <w:rFonts w:hint="eastAsia" w:ascii="方正仿宋_GB2312" w:hAnsi="方正仿宋_GB2312" w:cs="方正仿宋_GB2312"/>
          <w:b w:val="0"/>
          <w:sz w:val="32"/>
          <w:szCs w:val="32"/>
          <w:lang w:val="en-US" w:eastAsia="zh-CN"/>
        </w:rPr>
        <w:t>。</w:t>
      </w:r>
    </w:p>
    <w:p w14:paraId="3F35CB95">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方正仿宋_GB2312" w:hAnsi="方正仿宋_GB2312" w:cs="方正仿宋_GB2312"/>
          <w:lang w:val="en-US" w:eastAsia="zh-CN"/>
        </w:rPr>
      </w:pPr>
      <w:r>
        <w:rPr>
          <w:rFonts w:hint="eastAsia" w:ascii="方正仿宋_GB2312" w:hAnsi="方正仿宋_GB2312" w:eastAsia="方正仿宋_GB2312" w:cs="方正仿宋_GB2312"/>
          <w:b w:val="0"/>
          <w:sz w:val="32"/>
          <w:szCs w:val="32"/>
          <w:lang w:val="en-US" w:eastAsia="zh-CN"/>
        </w:rPr>
        <w:t>建立涵盖"监测-预警-处置"全链条的地方标准，是破解质量瓶颈、保障原料安全的关键举措。</w:t>
      </w:r>
      <w:r>
        <w:rPr>
          <w:rFonts w:hint="eastAsia" w:ascii="方正仿宋_GB2312" w:hAnsi="方正仿宋_GB2312" w:cs="方正仿宋_GB2312"/>
          <w:lang w:val="en-US" w:eastAsia="zh-CN"/>
        </w:rPr>
        <w:t>为保证烟叶在存储过程中的质量安全，夯实云南烟叶的原料保障作用；完善企业标准化建设，促进企业现代化转型，迫切需要仓储害虫综合防控措施方面的地方标准，针对云南仓储害虫的发生规律，将现有技术固化，更高效的进行仓储害虫的综合防控，提升云南烟草的综合竞争力。</w:t>
      </w:r>
    </w:p>
    <w:p w14:paraId="26E5B3FF">
      <w:pPr>
        <w:keepNext w:val="0"/>
        <w:keepLines w:val="0"/>
        <w:pageBreakBefore w:val="0"/>
        <w:widowControl w:val="0"/>
        <w:kinsoku/>
        <w:wordWrap/>
        <w:overflowPunct/>
        <w:topLinePunct w:val="0"/>
        <w:autoSpaceDE/>
        <w:autoSpaceDN/>
        <w:bidi w:val="0"/>
        <w:adjustRightInd/>
        <w:snapToGrid/>
        <w:ind w:firstLine="648" w:firstLineChars="200"/>
        <w:textAlignment w:val="auto"/>
        <w:rPr>
          <w:spacing w:val="2"/>
        </w:rPr>
      </w:pPr>
      <w:r>
        <w:rPr>
          <w:spacing w:val="2"/>
        </w:rPr>
        <w:t>查新发现，在现行标准中，</w:t>
      </w:r>
      <w:r>
        <w:rPr>
          <w:rFonts w:hint="default" w:ascii="Times New Roman" w:hAnsi="Times New Roman" w:cs="Times New Roman"/>
          <w:spacing w:val="2"/>
        </w:rPr>
        <w:t>GB/T</w:t>
      </w:r>
      <w:r>
        <w:rPr>
          <w:rFonts w:hint="default" w:ascii="Times New Roman" w:hAnsi="Times New Roman" w:cs="Times New Roman"/>
          <w:spacing w:val="2"/>
          <w:lang w:val="en-US" w:eastAsia="zh-CN"/>
        </w:rPr>
        <w:t xml:space="preserve"> </w:t>
      </w:r>
      <w:r>
        <w:rPr>
          <w:rFonts w:hint="default" w:ascii="Times New Roman" w:hAnsi="Times New Roman" w:cs="Times New Roman"/>
          <w:spacing w:val="2"/>
        </w:rPr>
        <w:t>41278-2022</w:t>
      </w:r>
      <w:r>
        <w:rPr>
          <w:spacing w:val="2"/>
        </w:rPr>
        <w:t>《谷物和豆类储存仓储害虫的诱捕检测指导》、</w:t>
      </w:r>
      <w:r>
        <w:rPr>
          <w:rFonts w:hint="default" w:ascii="Times New Roman" w:hAnsi="Times New Roman" w:cs="Times New Roman"/>
          <w:spacing w:val="2"/>
        </w:rPr>
        <w:t>GB/T 17980.54-2004</w:t>
      </w:r>
      <w:r>
        <w:rPr>
          <w:spacing w:val="2"/>
        </w:rPr>
        <w:t>《农药田间药效试验准则二第</w:t>
      </w:r>
      <w:r>
        <w:rPr>
          <w:rFonts w:hint="default" w:ascii="Times New Roman" w:hAnsi="Times New Roman" w:cs="Times New Roman"/>
          <w:spacing w:val="2"/>
        </w:rPr>
        <w:t>54</w:t>
      </w:r>
      <w:r>
        <w:rPr>
          <w:spacing w:val="2"/>
        </w:rPr>
        <w:t>部分：杀虫剂防治仓储害虫》、</w:t>
      </w:r>
      <w:r>
        <w:rPr>
          <w:rFonts w:hint="default" w:ascii="Times New Roman" w:hAnsi="Times New Roman" w:cs="Times New Roman"/>
          <w:spacing w:val="2"/>
        </w:rPr>
        <w:t>GB/T  29890</w:t>
      </w:r>
      <w:r>
        <w:rPr>
          <w:spacing w:val="2"/>
        </w:rPr>
        <w:t>《粮油储藏技术规范》、</w:t>
      </w:r>
      <w:r>
        <w:rPr>
          <w:rFonts w:hint="default" w:ascii="Times New Roman" w:hAnsi="Times New Roman" w:cs="Times New Roman"/>
          <w:spacing w:val="2"/>
        </w:rPr>
        <w:t>LS 1212-2008</w:t>
      </w:r>
      <w:r>
        <w:rPr>
          <w:spacing w:val="2"/>
        </w:rPr>
        <w:t xml:space="preserve"> 《储粮化学药剂管理和使用规范》、</w:t>
      </w:r>
      <w:r>
        <w:rPr>
          <w:rFonts w:hint="default" w:ascii="Times New Roman" w:hAnsi="Times New Roman" w:cs="Times New Roman"/>
          <w:spacing w:val="2"/>
        </w:rPr>
        <w:t>DB34/T 3760-2020</w:t>
      </w:r>
      <w:r>
        <w:rPr>
          <w:spacing w:val="2"/>
        </w:rPr>
        <w:t>《红米储存技术规程》 等标准中或多或少提到了仓储害虫的防治方法。但是均为针对粮食仓储害虫防治方面的。</w:t>
      </w:r>
    </w:p>
    <w:p w14:paraId="6CEB8772">
      <w:pPr>
        <w:keepNext w:val="0"/>
        <w:keepLines w:val="0"/>
        <w:pageBreakBefore w:val="0"/>
        <w:widowControl w:val="0"/>
        <w:kinsoku/>
        <w:wordWrap/>
        <w:overflowPunct/>
        <w:topLinePunct w:val="0"/>
        <w:autoSpaceDE/>
        <w:autoSpaceDN/>
        <w:bidi w:val="0"/>
        <w:adjustRightInd/>
        <w:snapToGrid/>
        <w:ind w:firstLine="648" w:firstLineChars="200"/>
        <w:textAlignment w:val="auto"/>
        <w:rPr>
          <w:spacing w:val="2"/>
        </w:rPr>
      </w:pPr>
      <w:r>
        <w:rPr>
          <w:spacing w:val="2"/>
        </w:rPr>
        <w:t>在烟草虫害防治方面，</w:t>
      </w:r>
      <w:r>
        <w:rPr>
          <w:rFonts w:hint="default" w:ascii="Times New Roman" w:hAnsi="Times New Roman" w:cs="Times New Roman"/>
          <w:spacing w:val="2"/>
        </w:rPr>
        <w:t>YC/T 435-2012《</w:t>
      </w:r>
      <w:r>
        <w:rPr>
          <w:spacing w:val="2"/>
        </w:rPr>
        <w:t>烟草病虫害预测预报工作规范》对田间烟草生长过程中病虫害预测预报工作规范进行了规定，</w:t>
      </w:r>
      <w:r>
        <w:rPr>
          <w:rFonts w:hint="default" w:ascii="Times New Roman" w:hAnsi="Times New Roman" w:cs="Times New Roman"/>
          <w:spacing w:val="2"/>
        </w:rPr>
        <w:t>GB/T 23222-2008</w:t>
      </w:r>
      <w:r>
        <w:rPr>
          <w:spacing w:val="2"/>
        </w:rPr>
        <w:t xml:space="preserve">《烟草病虫害分级及调查方法》主要规定了烟叶在田间生长期间各种病虫害的分级及调查方法， </w:t>
      </w:r>
      <w:r>
        <w:rPr>
          <w:rFonts w:hint="default" w:ascii="Times New Roman" w:hAnsi="Times New Roman" w:cs="Times New Roman"/>
          <w:spacing w:val="2"/>
        </w:rPr>
        <w:t>GB/T 23220-2023</w:t>
      </w:r>
      <w:r>
        <w:rPr>
          <w:spacing w:val="2"/>
        </w:rPr>
        <w:t>《烟叶储存保管方法》主要对原烟和片烟的储存保管方法的技术要求进行了规定，提到了害虫防治方法是熏蒸杀虫、S-烯虫酯生物防治和气调防治，</w:t>
      </w:r>
      <w:r>
        <w:rPr>
          <w:rFonts w:hint="default" w:ascii="Times New Roman" w:hAnsi="Times New Roman" w:cs="Times New Roman"/>
          <w:spacing w:val="2"/>
        </w:rPr>
        <w:t>YC/T</w:t>
      </w:r>
      <w:r>
        <w:rPr>
          <w:rFonts w:hint="eastAsia" w:ascii="Times New Roman" w:hAnsi="Times New Roman" w:cs="Times New Roman"/>
          <w:spacing w:val="2"/>
          <w:lang w:val="en-US" w:eastAsia="zh-CN"/>
        </w:rPr>
        <w:t xml:space="preserve"> </w:t>
      </w:r>
      <w:r>
        <w:rPr>
          <w:rFonts w:hint="default" w:ascii="Times New Roman" w:hAnsi="Times New Roman" w:cs="Times New Roman"/>
          <w:spacing w:val="2"/>
        </w:rPr>
        <w:t>300-2018</w:t>
      </w:r>
      <w:r>
        <w:rPr>
          <w:spacing w:val="2"/>
        </w:rPr>
        <w:t>《片烟贮存养护自然醇化法》从磷化氢熏蒸防治、药剂喷洒防治、低温防治、气调防治方面进行了详细描述，</w:t>
      </w:r>
      <w:r>
        <w:rPr>
          <w:rFonts w:hint="default" w:ascii="Times New Roman" w:hAnsi="Times New Roman" w:cs="Times New Roman"/>
          <w:spacing w:val="2"/>
        </w:rPr>
        <w:t>YC/T 299-2016</w:t>
      </w:r>
      <w:r>
        <w:rPr>
          <w:spacing w:val="2"/>
        </w:rPr>
        <w:t>《烟草加工过程害虫防治技术规范》主要从充氮气调、熏蒸和药剂固化几方面规定了烟草加工过程中的害虫防治技术。本地方标准是基于云南烟叶仓储害虫的发生和危害规律，制定云南烟叶涉及露天货场、半成品库、成品库以及高架库的仓储害虫防治技术，而这方面在以上标准中均未明确涉及。</w:t>
      </w:r>
    </w:p>
    <w:p w14:paraId="2D020DA7">
      <w:pPr>
        <w:pStyle w:val="3"/>
        <w:keepNext/>
        <w:keepLines/>
        <w:pageBreakBefore w:val="0"/>
        <w:widowControl w:val="0"/>
        <w:numPr>
          <w:ilvl w:val="0"/>
          <w:numId w:val="4"/>
        </w:numPr>
        <w:kinsoku/>
        <w:wordWrap/>
        <w:overflowPunct/>
        <w:topLinePunct w:val="0"/>
        <w:autoSpaceDE/>
        <w:autoSpaceDN/>
        <w:bidi w:val="0"/>
        <w:adjustRightInd/>
        <w:snapToGrid/>
        <w:spacing w:before="0" w:after="0" w:line="240" w:lineRule="auto"/>
        <w:ind w:firstLine="640" w:firstLineChars="200"/>
        <w:textAlignment w:val="auto"/>
        <w:rPr>
          <w:rFonts w:hint="eastAsia" w:ascii="Arial" w:hAnsi="Arial"/>
          <w:b w:val="0"/>
          <w:lang w:val="en-US" w:eastAsia="zh-CN"/>
        </w:rPr>
      </w:pPr>
      <w:r>
        <w:rPr>
          <w:rFonts w:hint="eastAsia" w:ascii="Arial" w:hAnsi="Arial"/>
          <w:b w:val="0"/>
          <w:lang w:val="en-US" w:eastAsia="zh-CN"/>
        </w:rPr>
        <w:t>主要起草过程</w:t>
      </w:r>
    </w:p>
    <w:p w14:paraId="59F8E7CE">
      <w:pPr>
        <w:pStyle w:val="4"/>
        <w:numPr>
          <w:ilvl w:val="0"/>
          <w:numId w:val="7"/>
        </w:numPr>
        <w:bidi w:val="0"/>
        <w:ind w:firstLine="720"/>
        <w:rPr>
          <w:rFonts w:hint="eastAsia"/>
          <w:lang w:val="en-US" w:eastAsia="zh-CN"/>
        </w:rPr>
      </w:pPr>
      <w:r>
        <w:rPr>
          <w:rFonts w:hint="eastAsia"/>
          <w:lang w:val="en-US" w:eastAsia="zh-CN"/>
        </w:rPr>
        <w:t>成立标准起草组</w:t>
      </w:r>
    </w:p>
    <w:p w14:paraId="2290E574">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方正仿宋_GB2312" w:hAnsi="方正仿宋_GB2312" w:cs="方正仿宋_GB2312"/>
          <w:b w:val="0"/>
          <w:sz w:val="32"/>
          <w:szCs w:val="32"/>
          <w:lang w:val="en-US" w:eastAsia="zh-CN"/>
        </w:rPr>
      </w:pPr>
      <w:r>
        <w:rPr>
          <w:rFonts w:hint="eastAsia" w:ascii="方正仿宋_GB2312" w:hAnsi="方正仿宋_GB2312" w:eastAsia="方正仿宋_GB2312" w:cs="方正仿宋_GB2312"/>
          <w:b w:val="0"/>
          <w:sz w:val="32"/>
          <w:szCs w:val="32"/>
          <w:lang w:val="en-US" w:eastAsia="zh-CN"/>
        </w:rPr>
        <w:t>云南省烟草烟叶公司是中国烟草总公司云南省公司的全资子公司，是集烟叶购进、加工、销售、仓储及技术研发为一体的综合性复烤企业，主要负责执行全省烟叶总量15%的省储备烟叶调拨计划和全省罚没烟的收储、加工、保管、销售。拥有多种类型仓储设施，包括立体高架库、高层仓库、平仓、露天货场等，</w:t>
      </w:r>
      <w:r>
        <w:rPr>
          <w:rFonts w:hint="eastAsia" w:ascii="方正仿宋_GB2312" w:hAnsi="方正仿宋_GB2312" w:cs="方正仿宋_GB2312"/>
          <w:b w:val="0"/>
          <w:sz w:val="32"/>
          <w:szCs w:val="32"/>
          <w:lang w:val="en-US" w:eastAsia="zh-CN"/>
        </w:rPr>
        <w:t>全面覆盖全省烟叶储存场景。</w:t>
      </w:r>
    </w:p>
    <w:p w14:paraId="78830EC1">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方正仿宋_GB2312" w:hAnsi="方正仿宋_GB2312" w:eastAsia="方正仿宋_GB2312" w:cs="方正仿宋_GB2312"/>
          <w:b w:val="0"/>
          <w:sz w:val="32"/>
          <w:szCs w:val="32"/>
          <w:lang w:val="en-US" w:eastAsia="zh-CN"/>
        </w:rPr>
      </w:pPr>
      <w:r>
        <w:rPr>
          <w:rFonts w:hint="eastAsia" w:ascii="方正仿宋_GB2312" w:hAnsi="方正仿宋_GB2312" w:cs="方正仿宋_GB2312"/>
          <w:b w:val="0"/>
          <w:sz w:val="32"/>
          <w:szCs w:val="32"/>
          <w:lang w:val="en-US" w:eastAsia="zh-CN"/>
        </w:rPr>
        <w:t>为促进云南烟叶质量更好发展</w:t>
      </w:r>
      <w:r>
        <w:rPr>
          <w:rFonts w:hint="eastAsia" w:ascii="方正仿宋_GB2312" w:hAnsi="方正仿宋_GB2312" w:cs="方正仿宋_GB2312"/>
          <w:lang w:val="en-US" w:eastAsia="zh-CN"/>
        </w:rPr>
        <w:t>，由云南省烟草烟叶公司牵头云南省标准化研究院、</w:t>
      </w:r>
      <w:r>
        <w:rPr>
          <w:spacing w:val="27"/>
          <w:u w:val="none" w:color="auto"/>
        </w:rPr>
        <w:t>颐中</w:t>
      </w:r>
      <w:r>
        <w:rPr>
          <w:rFonts w:hint="eastAsia"/>
          <w:spacing w:val="27"/>
          <w:u w:val="none" w:color="auto"/>
          <w:lang w:eastAsia="zh-CN"/>
        </w:rPr>
        <w:t>（</w:t>
      </w:r>
      <w:r>
        <w:rPr>
          <w:spacing w:val="27"/>
          <w:u w:val="none" w:color="auto"/>
        </w:rPr>
        <w:t>青岛</w:t>
      </w:r>
      <w:r>
        <w:rPr>
          <w:rFonts w:hint="eastAsia"/>
          <w:spacing w:val="27"/>
          <w:u w:val="none" w:color="auto"/>
          <w:lang w:eastAsia="zh-CN"/>
        </w:rPr>
        <w:t>）</w:t>
      </w:r>
      <w:r>
        <w:rPr>
          <w:spacing w:val="27"/>
          <w:u w:val="none" w:color="auto"/>
        </w:rPr>
        <w:t>物流有限公司</w:t>
      </w:r>
      <w:r>
        <w:rPr>
          <w:rFonts w:hint="eastAsia" w:ascii="方正仿宋_GB2312" w:hAnsi="方正仿宋_GB2312" w:cs="方正仿宋_GB2312"/>
          <w:lang w:val="en-US" w:eastAsia="zh-CN"/>
        </w:rPr>
        <w:t>于</w:t>
      </w:r>
      <w:r>
        <w:rPr>
          <w:rFonts w:hint="eastAsia" w:ascii="方正仿宋_GB2312" w:hAnsi="方正仿宋_GB2312" w:cs="方正仿宋_GB2312"/>
          <w:highlight w:val="none"/>
          <w:lang w:val="en-US" w:eastAsia="zh-CN"/>
        </w:rPr>
        <w:t>2024年8月成立标准起草小组，提出立项申请，对打叶复烤仓储害虫的综合防控技术规程进行梳理，</w:t>
      </w:r>
      <w:r>
        <w:rPr>
          <w:rFonts w:hint="eastAsia" w:ascii="方正仿宋_GB2312" w:hAnsi="方正仿宋_GB2312" w:eastAsia="方正仿宋_GB2312" w:cs="方正仿宋_GB2312"/>
          <w:b w:val="0"/>
          <w:sz w:val="32"/>
          <w:szCs w:val="32"/>
          <w:lang w:val="en-US" w:eastAsia="zh-CN"/>
        </w:rPr>
        <w:t>使防控工作更加高效、有针对性，保证公司储存烟叶的安全和云南烟叶的原料质量。</w:t>
      </w:r>
      <w:r>
        <w:rPr>
          <w:rFonts w:hint="eastAsia" w:ascii="方正仿宋_GB2312" w:hAnsi="方正仿宋_GB2312" w:cs="方正仿宋_GB2312"/>
          <w:b w:val="0"/>
          <w:sz w:val="32"/>
          <w:szCs w:val="32"/>
          <w:lang w:val="en-US" w:eastAsia="zh-CN"/>
        </w:rPr>
        <w:t>项目</w:t>
      </w:r>
      <w:r>
        <w:rPr>
          <w:rFonts w:hint="eastAsia" w:ascii="方正仿宋_GB2312" w:hAnsi="方正仿宋_GB2312" w:cs="方正仿宋_GB2312"/>
          <w:b w:val="0"/>
          <w:sz w:val="32"/>
          <w:szCs w:val="32"/>
          <w:highlight w:val="none"/>
          <w:lang w:val="en-US" w:eastAsia="zh-CN"/>
        </w:rPr>
        <w:t>于2025年1月通过专家评审立项。</w:t>
      </w:r>
    </w:p>
    <w:p w14:paraId="17FD7B9F">
      <w:pPr>
        <w:pStyle w:val="4"/>
        <w:numPr>
          <w:ilvl w:val="0"/>
          <w:numId w:val="7"/>
        </w:numPr>
        <w:bidi w:val="0"/>
        <w:ind w:firstLine="720"/>
        <w:rPr>
          <w:rFonts w:hint="eastAsia"/>
          <w:lang w:val="en-US" w:eastAsia="zh-CN"/>
        </w:rPr>
      </w:pPr>
      <w:r>
        <w:rPr>
          <w:rFonts w:hint="eastAsia"/>
          <w:lang w:val="en-US" w:eastAsia="zh-CN"/>
        </w:rPr>
        <w:t>资料收集及调研情况</w:t>
      </w:r>
    </w:p>
    <w:p w14:paraId="615E66D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方正仿宋_GB2312" w:hAnsi="方正仿宋_GB2312" w:cs="方正仿宋_GB2312"/>
          <w:b w:val="0"/>
          <w:sz w:val="32"/>
          <w:szCs w:val="32"/>
          <w:lang w:val="en-US" w:eastAsia="zh-CN"/>
        </w:rPr>
      </w:pPr>
      <w:r>
        <w:rPr>
          <w:rFonts w:hint="eastAsia" w:ascii="方正仿宋_GB2312" w:hAnsi="方正仿宋_GB2312" w:cs="方正仿宋_GB2312"/>
          <w:b w:val="0"/>
          <w:sz w:val="32"/>
          <w:szCs w:val="32"/>
          <w:lang w:val="en-US" w:eastAsia="zh-CN"/>
        </w:rPr>
        <w:t>2025年1月至2月，标准起草组起草人对烟草害虫综合防控技术的国内外现状、水平、发展、趋势等情况进行了详细的调查分析：</w:t>
      </w:r>
    </w:p>
    <w:p w14:paraId="7BC8C964">
      <w:pPr>
        <w:keepNext w:val="0"/>
        <w:keepLines w:val="0"/>
        <w:pageBreakBefore w:val="0"/>
        <w:widowControl w:val="0"/>
        <w:kinsoku/>
        <w:wordWrap/>
        <w:overflowPunct/>
        <w:topLinePunct w:val="0"/>
        <w:autoSpaceDE/>
        <w:autoSpaceDN/>
        <w:bidi w:val="0"/>
        <w:adjustRightInd/>
        <w:snapToGrid/>
        <w:ind w:firstLine="640" w:firstLineChars="200"/>
        <w:textAlignment w:val="auto"/>
        <w:rPr>
          <w:spacing w:val="1"/>
        </w:rPr>
      </w:pPr>
      <w:r>
        <w:t>烟草甲属鞘翅目</w:t>
      </w:r>
      <w:r>
        <w:rPr>
          <w:rFonts w:ascii="Times New Roman" w:hAnsi="Times New Roman" w:eastAsia="Times New Roman" w:cs="Times New Roman"/>
          <w:i/>
          <w:iCs/>
          <w:spacing w:val="-6"/>
          <w:sz w:val="32"/>
          <w:szCs w:val="32"/>
        </w:rPr>
        <w:t>Coleoptera</w:t>
      </w:r>
      <w:r>
        <w:t>窃蠢科</w:t>
      </w:r>
      <w:r>
        <w:rPr>
          <w:rFonts w:ascii="Times New Roman" w:hAnsi="Times New Roman" w:eastAsia="Times New Roman" w:cs="Times New Roman"/>
          <w:i/>
          <w:iCs/>
          <w:spacing w:val="-6"/>
          <w:sz w:val="32"/>
          <w:szCs w:val="32"/>
        </w:rPr>
        <w:t>Anobiidae,</w:t>
      </w:r>
      <w:r>
        <w:t>烟草粉螟属于鳞翅目</w:t>
      </w:r>
      <w:r>
        <w:rPr>
          <w:rFonts w:ascii="Times New Roman" w:hAnsi="Times New Roman" w:eastAsia="Times New Roman" w:cs="Times New Roman"/>
          <w:i/>
          <w:iCs/>
          <w:spacing w:val="-6"/>
          <w:sz w:val="32"/>
          <w:szCs w:val="32"/>
        </w:rPr>
        <w:t>Lepidoptera</w:t>
      </w:r>
      <w:r>
        <w:t>螟蛾科</w:t>
      </w:r>
      <w:r>
        <w:rPr>
          <w:rFonts w:ascii="Times New Roman" w:hAnsi="Times New Roman" w:eastAsia="Times New Roman" w:cs="Times New Roman"/>
          <w:i/>
          <w:iCs/>
          <w:spacing w:val="-6"/>
          <w:sz w:val="32"/>
          <w:szCs w:val="32"/>
        </w:rPr>
        <w:t>Pyralidae</w:t>
      </w:r>
      <w:r>
        <w:t>昆虫。烟草仓储害虫的防治方法包括物理防治、</w:t>
      </w:r>
      <w:r>
        <w:rPr>
          <w:spacing w:val="-1"/>
        </w:rPr>
        <w:t>化学防治和生物防治。仓</w:t>
      </w:r>
      <w:r>
        <w:rPr>
          <w:spacing w:val="2"/>
        </w:rPr>
        <w:t>储害虫物理防治技术主要包括气调、高温、低温、微波、灯光诱集、筛网阻隔等。其中工业企业应用较多的有物理阻隔、气调技术、低温杀虫和黑光灯诱捕。利用</w:t>
      </w:r>
      <w:r>
        <w:rPr>
          <w:spacing w:val="1"/>
        </w:rPr>
        <w:t>筛网将大部</w:t>
      </w:r>
      <w:r>
        <w:rPr>
          <w:spacing w:val="2"/>
        </w:rPr>
        <w:t>分仓储害虫阻隔在仓外，因此利用筛网阻隔烟仓，同时结合化学农药是控制烟仓害虫的有效措施。气调技术是于密闭仓储环境中充入氮气或放置气调剂，调节氧</w:t>
      </w:r>
      <w:r>
        <w:rPr>
          <w:spacing w:val="1"/>
        </w:rPr>
        <w:t>气含量，形成</w:t>
      </w:r>
      <w:r>
        <w:rPr>
          <w:spacing w:val="2"/>
        </w:rPr>
        <w:t>低氧状态，让虫霉难以生存，从而达到防虫、防霉和提高烟叶品质的作用。目</w:t>
      </w:r>
      <w:r>
        <w:rPr>
          <w:spacing w:val="1"/>
        </w:rPr>
        <w:t>前充氮杀</w:t>
      </w:r>
      <w:r>
        <w:rPr>
          <w:spacing w:val="2"/>
        </w:rPr>
        <w:t>虫普遍应用于粮食、烟草、中药材中害虫的控制。低温杀虫主要在</w:t>
      </w:r>
      <w:r>
        <w:rPr>
          <w:spacing w:val="1"/>
        </w:rPr>
        <w:t>秦岭淮河以北的低温</w:t>
      </w:r>
      <w:r>
        <w:rPr>
          <w:spacing w:val="3"/>
        </w:rPr>
        <w:t>季节</w:t>
      </w:r>
      <w:r>
        <w:rPr>
          <w:rFonts w:hint="eastAsia"/>
          <w:spacing w:val="3"/>
          <w:lang w:eastAsia="zh-CN"/>
        </w:rPr>
        <w:t>（</w:t>
      </w:r>
      <w:r>
        <w:rPr>
          <w:spacing w:val="2"/>
        </w:rPr>
        <w:t>库外温度低于</w:t>
      </w:r>
      <w:r>
        <w:rPr>
          <w:rFonts w:hint="eastAsia" w:ascii="方正仿宋_GB2312" w:hAnsi="方正仿宋_GB2312" w:eastAsia="方正仿宋_GB2312" w:cs="方正仿宋_GB2312"/>
          <w:spacing w:val="2"/>
          <w:lang w:val="en-US" w:eastAsia="zh-CN"/>
        </w:rPr>
        <w:t>-4</w:t>
      </w:r>
      <w:r>
        <w:rPr>
          <w:spacing w:val="2"/>
        </w:rPr>
        <w:t>℃时</w:t>
      </w:r>
      <w:r>
        <w:rPr>
          <w:rFonts w:hint="eastAsia"/>
          <w:spacing w:val="2"/>
          <w:lang w:eastAsia="zh-CN"/>
        </w:rPr>
        <w:t>），</w:t>
      </w:r>
      <w:r>
        <w:rPr>
          <w:spacing w:val="2"/>
        </w:rPr>
        <w:t>采用自然通风或机械通风等方式降低库</w:t>
      </w:r>
      <w:r>
        <w:rPr>
          <w:spacing w:val="3"/>
        </w:rPr>
        <w:t>内温度以冻死部分</w:t>
      </w:r>
      <w:r>
        <w:rPr>
          <w:spacing w:val="1"/>
        </w:rPr>
        <w:t>越冬虫源、降低来年虫源基数。生物防治主要是利用性引诱剂引诱害虫的成虫，实现集中灭杀的作用。目前烟草甲性信息素业已实现化学合成，使用较多的</w:t>
      </w:r>
      <w:r>
        <w:rPr>
          <w:rFonts w:hint="eastAsia" w:ascii="方正仿宋_GB2312" w:hAnsi="方正仿宋_GB2312" w:eastAsia="方正仿宋_GB2312" w:cs="方正仿宋_GB2312"/>
          <w:i w:val="0"/>
          <w:iCs w:val="0"/>
          <w:spacing w:val="-6"/>
          <w:sz w:val="32"/>
          <w:szCs w:val="32"/>
        </w:rPr>
        <w:t>3</w:t>
      </w:r>
      <w:r>
        <w:rPr>
          <w:rFonts w:hint="eastAsia" w:ascii="方正仿宋_GB2312" w:hAnsi="方正仿宋_GB2312" w:eastAsia="方正仿宋_GB2312" w:cs="方正仿宋_GB2312"/>
          <w:i w:val="0"/>
          <w:iCs w:val="0"/>
          <w:spacing w:val="1"/>
        </w:rPr>
        <w:t>种</w:t>
      </w:r>
      <w:r>
        <w:rPr>
          <w:rFonts w:hint="eastAsia" w:ascii="方正仿宋_GB2312" w:hAnsi="方正仿宋_GB2312" w:eastAsia="方正仿宋_GB2312" w:cs="方正仿宋_GB2312"/>
          <w:spacing w:val="1"/>
        </w:rPr>
        <w:t>商</w:t>
      </w:r>
      <w:r>
        <w:rPr>
          <w:spacing w:val="1"/>
        </w:rPr>
        <w:t>品诱芯分别是新型</w:t>
      </w:r>
      <w:r>
        <w:rPr>
          <w:rFonts w:ascii="Times New Roman" w:hAnsi="Times New Roman" w:eastAsia="Times New Roman" w:cs="Times New Roman"/>
          <w:i/>
          <w:iCs/>
          <w:spacing w:val="-6"/>
          <w:sz w:val="32"/>
          <w:szCs w:val="32"/>
        </w:rPr>
        <w:t>Serrico</w:t>
      </w:r>
      <w:r>
        <w:rPr>
          <w:spacing w:val="1"/>
        </w:rPr>
        <w:t>诱芯、</w:t>
      </w:r>
      <w:r>
        <w:rPr>
          <w:rFonts w:ascii="Times New Roman" w:hAnsi="Times New Roman" w:eastAsia="Times New Roman" w:cs="Times New Roman"/>
          <w:i/>
          <w:iCs/>
          <w:spacing w:val="-6"/>
          <w:sz w:val="32"/>
          <w:szCs w:val="32"/>
        </w:rPr>
        <w:t>Lasiotrap</w:t>
      </w:r>
      <w:r>
        <w:rPr>
          <w:spacing w:val="1"/>
        </w:rPr>
        <w:t>诱芯和</w:t>
      </w:r>
      <w:r>
        <w:rPr>
          <w:rFonts w:ascii="Times New Roman" w:hAnsi="Times New Roman" w:eastAsia="Times New Roman" w:cs="Times New Roman"/>
          <w:i/>
          <w:iCs/>
          <w:spacing w:val="-6"/>
          <w:sz w:val="32"/>
          <w:szCs w:val="32"/>
        </w:rPr>
        <w:t>Trécé</w:t>
      </w:r>
      <w:r>
        <w:rPr>
          <w:spacing w:val="1"/>
        </w:rPr>
        <w:t>诱芯，这些诱捕配方对雄虫的捕获率超</w:t>
      </w:r>
      <w:r>
        <w:rPr>
          <w:rFonts w:hint="eastAsia" w:ascii="方正仿宋_GB2312" w:hAnsi="方正仿宋_GB2312" w:eastAsia="方正仿宋_GB2312" w:cs="方正仿宋_GB2312"/>
          <w:spacing w:val="1"/>
        </w:rPr>
        <w:t>过90%。</w:t>
      </w:r>
      <w:r>
        <w:rPr>
          <w:spacing w:val="1"/>
        </w:rPr>
        <w:t>化学防治中，最常见和有效的烟仓害虫防控方法是利用磷化氢熏蒸。但磷化氢业已引起烟仓害虫的抗性，而且不同烟草甲种群的抗性不同。随着S-烯虫酯在国内取得农药注册登记，可应用S-烯虫酯防治烟草甲和烟草粉螟。</w:t>
      </w:r>
    </w:p>
    <w:p w14:paraId="20011104">
      <w:pPr>
        <w:pStyle w:val="4"/>
        <w:numPr>
          <w:ilvl w:val="0"/>
          <w:numId w:val="7"/>
        </w:numPr>
        <w:bidi w:val="0"/>
        <w:ind w:firstLine="720"/>
        <w:rPr>
          <w:rFonts w:hint="default"/>
          <w:lang w:val="en-US" w:eastAsia="zh-CN"/>
        </w:rPr>
      </w:pPr>
      <w:r>
        <w:rPr>
          <w:rFonts w:hint="eastAsia"/>
          <w:lang w:val="en-US" w:eastAsia="zh-CN"/>
        </w:rPr>
        <w:t>标准起草形成初稿</w:t>
      </w:r>
    </w:p>
    <w:p w14:paraId="1E70557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方正楷体_GB2312" w:hAnsi="方正楷体_GB2312" w:eastAsia="方正楷体_GB2312" w:cs="方正楷体_GB2312"/>
          <w:b w:val="0"/>
          <w:lang w:val="en-US" w:eastAsia="zh-CN"/>
        </w:rPr>
      </w:pPr>
      <w:r>
        <w:rPr>
          <w:rFonts w:hint="eastAsia" w:ascii="方正仿宋_GB2312" w:hAnsi="方正仿宋_GB2312" w:eastAsia="方正仿宋_GB2312" w:cs="方正仿宋_GB2312"/>
          <w:b w:val="0"/>
          <w:sz w:val="32"/>
          <w:szCs w:val="32"/>
          <w:lang w:val="en-US" w:eastAsia="zh-CN"/>
        </w:rPr>
        <w:t>2025年2月，</w:t>
      </w:r>
      <w:r>
        <w:rPr>
          <w:rFonts w:hint="eastAsia" w:ascii="方正仿宋_GB2312" w:hAnsi="方正仿宋_GB2312" w:cs="方正仿宋_GB2312"/>
          <w:b w:val="0"/>
          <w:sz w:val="32"/>
          <w:szCs w:val="32"/>
          <w:lang w:val="en-US" w:eastAsia="zh-CN"/>
        </w:rPr>
        <w:t>起草组成员针对</w:t>
      </w:r>
      <w:r>
        <w:t>烟</w:t>
      </w:r>
      <w:r>
        <w:rPr>
          <w:rFonts w:hint="eastAsia" w:ascii="方正仿宋_GB2312" w:hAnsi="方正仿宋_GB2312" w:cs="方正仿宋_GB2312"/>
          <w:b w:val="0"/>
          <w:sz w:val="32"/>
          <w:szCs w:val="32"/>
          <w:lang w:val="en-US" w:eastAsia="zh-CN"/>
        </w:rPr>
        <w:t>叶(原烟、片烟)储存过程中有害昆虫情况，对现有防控技术手段进行梳理总结，初步拟定了规程内容，包括：</w:t>
      </w:r>
      <w:r>
        <w:rPr>
          <w:spacing w:val="2"/>
        </w:rPr>
        <w:t>防治原</w:t>
      </w:r>
      <w:r>
        <w:rPr>
          <w:spacing w:val="1"/>
        </w:rPr>
        <w:t>则、烟</w:t>
      </w:r>
      <w:r>
        <w:t>叶储存要求、仓储设施与设备要求、</w:t>
      </w:r>
      <w:r>
        <w:rPr>
          <w:rFonts w:hint="eastAsia"/>
          <w:lang w:val="en-US" w:eastAsia="zh-CN"/>
        </w:rPr>
        <w:t>以及</w:t>
      </w:r>
      <w:r>
        <w:rPr>
          <w:rFonts w:hint="eastAsia" w:ascii="方正仿宋_GB2312" w:hAnsi="方正仿宋_GB2312" w:cs="方正仿宋_GB2312"/>
          <w:b w:val="0"/>
          <w:sz w:val="32"/>
          <w:szCs w:val="32"/>
          <w:lang w:val="en-US" w:eastAsia="zh-CN"/>
        </w:rPr>
        <w:t>仓储虫害防治(虫情监测、害虫控制措施及效果调查等)。</w:t>
      </w:r>
    </w:p>
    <w:p w14:paraId="49D04942">
      <w:pPr>
        <w:pStyle w:val="4"/>
        <w:numPr>
          <w:ilvl w:val="0"/>
          <w:numId w:val="7"/>
        </w:numPr>
        <w:bidi w:val="0"/>
        <w:ind w:firstLine="720"/>
        <w:rPr>
          <w:rFonts w:hint="default"/>
          <w:lang w:val="en-US" w:eastAsia="zh-CN"/>
        </w:rPr>
      </w:pPr>
      <w:r>
        <w:rPr>
          <w:rFonts w:hint="eastAsia"/>
          <w:lang w:val="en-US" w:eastAsia="zh-CN"/>
        </w:rPr>
        <w:t>经内部讨论修改形成征求意见稿</w:t>
      </w:r>
    </w:p>
    <w:p w14:paraId="27F9E1F7">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方正楷体_GB2312" w:hAnsi="方正楷体_GB2312" w:eastAsia="方正楷体_GB2312" w:cs="方正楷体_GB2312"/>
          <w:b w:val="0"/>
          <w:lang w:val="en-US" w:eastAsia="zh-CN"/>
        </w:rPr>
      </w:pPr>
      <w:r>
        <w:rPr>
          <w:rFonts w:hint="default" w:ascii="方正仿宋_GB2312" w:hAnsi="方正仿宋_GB2312" w:eastAsia="方正仿宋_GB2312" w:cs="方正仿宋_GB2312"/>
          <w:b w:val="0"/>
          <w:sz w:val="32"/>
          <w:szCs w:val="32"/>
          <w:lang w:val="en-US" w:eastAsia="zh-CN"/>
        </w:rPr>
        <w:t>2025年3</w:t>
      </w:r>
      <w:r>
        <w:rPr>
          <w:rFonts w:hint="eastAsia" w:ascii="方正仿宋_GB2312" w:hAnsi="方正仿宋_GB2312" w:cs="方正仿宋_GB2312"/>
          <w:b w:val="0"/>
          <w:sz w:val="32"/>
          <w:szCs w:val="32"/>
          <w:lang w:val="en-US" w:eastAsia="zh-CN"/>
        </w:rPr>
        <w:t>月至</w:t>
      </w:r>
      <w:r>
        <w:rPr>
          <w:rFonts w:hint="default" w:ascii="方正仿宋_GB2312" w:hAnsi="方正仿宋_GB2312" w:eastAsia="方正仿宋_GB2312" w:cs="方正仿宋_GB2312"/>
          <w:b w:val="0"/>
          <w:sz w:val="32"/>
          <w:szCs w:val="32"/>
          <w:lang w:val="en-US" w:eastAsia="zh-CN"/>
        </w:rPr>
        <w:t>7月</w:t>
      </w:r>
      <w:r>
        <w:rPr>
          <w:rFonts w:hint="eastAsia" w:ascii="方正仿宋_GB2312" w:hAnsi="方正仿宋_GB2312" w:cs="方正仿宋_GB2312"/>
          <w:b w:val="0"/>
          <w:sz w:val="32"/>
          <w:szCs w:val="32"/>
          <w:lang w:val="en-US" w:eastAsia="zh-CN"/>
        </w:rPr>
        <w:t>，起草组分析近两年云南省烟草烟叶公司烟叶(原烟、半成品、成品)储存害虫情况，有针对性对各仓储环节下害虫防控处置方式进行多次讨论和整理，最终形成对不同区域的虫情特点设定防控阈值和相应的处置措施，完善细化仓储害虫的综合防控技术规程，使防控工作更加高效、有针对性，保证了公司储存烟叶的安全和云南烟叶的原料质量。最终</w:t>
      </w:r>
      <w:r>
        <w:rPr>
          <w:rFonts w:hint="default" w:ascii="方正仿宋_GB2312" w:hAnsi="方正仿宋_GB2312" w:eastAsia="方正仿宋_GB2312" w:cs="方正仿宋_GB2312"/>
          <w:b w:val="0"/>
          <w:sz w:val="32"/>
          <w:szCs w:val="32"/>
          <w:lang w:val="en-US" w:eastAsia="zh-CN"/>
        </w:rPr>
        <w:t>形成标准征求意见稿</w:t>
      </w:r>
      <w:r>
        <w:rPr>
          <w:rFonts w:hint="eastAsia" w:ascii="方正仿宋_GB2312" w:hAnsi="方正仿宋_GB2312" w:cs="方正仿宋_GB2312"/>
          <w:b w:val="0"/>
          <w:sz w:val="32"/>
          <w:szCs w:val="32"/>
          <w:lang w:val="en-US" w:eastAsia="zh-CN"/>
        </w:rPr>
        <w:t>。</w:t>
      </w:r>
    </w:p>
    <w:p w14:paraId="2D82E625">
      <w:pPr>
        <w:pStyle w:val="4"/>
        <w:numPr>
          <w:ilvl w:val="0"/>
          <w:numId w:val="7"/>
        </w:numPr>
        <w:bidi w:val="0"/>
        <w:ind w:firstLine="720"/>
        <w:rPr>
          <w:rFonts w:hint="default"/>
          <w:color w:val="FF0000"/>
          <w:lang w:val="en-US" w:eastAsia="zh-CN"/>
        </w:rPr>
      </w:pPr>
      <w:r>
        <w:rPr>
          <w:rFonts w:hint="eastAsia"/>
          <w:color w:val="FF0000"/>
          <w:lang w:val="en-US" w:eastAsia="zh-CN"/>
        </w:rPr>
        <w:t>征求意见</w:t>
      </w:r>
    </w:p>
    <w:p w14:paraId="6A476D7C">
      <w:pPr>
        <w:rPr>
          <w:rFonts w:hint="default"/>
          <w:lang w:val="en-US" w:eastAsia="zh-CN"/>
        </w:rPr>
      </w:pPr>
      <w:bookmarkStart w:id="0" w:name="_GoBack"/>
      <w:bookmarkEnd w:id="0"/>
    </w:p>
    <w:p w14:paraId="14DEFD24">
      <w:pPr>
        <w:pStyle w:val="4"/>
        <w:numPr>
          <w:ilvl w:val="0"/>
          <w:numId w:val="7"/>
        </w:numPr>
        <w:bidi w:val="0"/>
        <w:ind w:firstLine="720"/>
        <w:rPr>
          <w:rFonts w:hint="eastAsia"/>
          <w:color w:val="FF0000"/>
          <w:lang w:val="en-US" w:eastAsia="zh-CN"/>
        </w:rPr>
      </w:pPr>
      <w:r>
        <w:rPr>
          <w:rFonts w:hint="eastAsia"/>
          <w:color w:val="FF0000"/>
          <w:lang w:val="en-US" w:eastAsia="zh-CN"/>
        </w:rPr>
        <w:t>进一步修改完善后形成标准送审稿</w:t>
      </w:r>
    </w:p>
    <w:p w14:paraId="74044B9E">
      <w:pPr>
        <w:pStyle w:val="7"/>
        <w:pageBreakBefore w:val="0"/>
        <w:widowControl w:val="0"/>
        <w:kinsoku/>
        <w:wordWrap/>
        <w:overflowPunct/>
        <w:topLinePunct w:val="0"/>
        <w:autoSpaceDE/>
        <w:autoSpaceDN/>
        <w:bidi w:val="0"/>
        <w:adjustRightInd/>
        <w:snapToGrid/>
        <w:spacing w:line="240" w:lineRule="auto"/>
        <w:ind w:left="0" w:right="0" w:firstLine="640" w:firstLineChars="200"/>
        <w:jc w:val="both"/>
        <w:textAlignment w:val="auto"/>
        <w:outlineLvl w:val="9"/>
        <w:rPr>
          <w:rFonts w:hint="eastAsia" w:eastAsia="仿宋"/>
          <w:color w:val="FF0000"/>
          <w:lang w:eastAsia="zh-CN"/>
        </w:rPr>
      </w:pPr>
      <w:r>
        <w:rPr>
          <w:rFonts w:hint="eastAsia"/>
          <w:color w:val="FF0000"/>
          <w:spacing w:val="5"/>
          <w:lang w:eastAsia="zh-CN"/>
        </w:rPr>
        <w:t>（</w:t>
      </w:r>
      <w:r>
        <w:rPr>
          <w:color w:val="FF0000"/>
          <w:spacing w:val="5"/>
        </w:rPr>
        <w:t>应包含成立标准起草组（项目组）、收集资料</w:t>
      </w:r>
      <w:r>
        <w:rPr>
          <w:color w:val="FF0000"/>
          <w:spacing w:val="4"/>
        </w:rPr>
        <w:t>及调研、标准</w:t>
      </w:r>
      <w:r>
        <w:rPr>
          <w:color w:val="FF0000"/>
          <w:spacing w:val="5"/>
        </w:rPr>
        <w:t>起草形成初稿、经内部讨论修改形成征求意见稿、征求意见、进</w:t>
      </w:r>
      <w:r>
        <w:rPr>
          <w:color w:val="FF0000"/>
          <w:spacing w:val="8"/>
        </w:rPr>
        <w:t>一步修改完善后形成标准送审稿等过程。</w:t>
      </w:r>
      <w:r>
        <w:rPr>
          <w:rFonts w:hint="eastAsia"/>
          <w:color w:val="FF0000"/>
          <w:spacing w:val="8"/>
          <w:lang w:eastAsia="zh-CN"/>
        </w:rPr>
        <w:t>）</w:t>
      </w:r>
    </w:p>
    <w:p w14:paraId="51A7C43A">
      <w:pPr>
        <w:pStyle w:val="3"/>
        <w:keepNext/>
        <w:keepLines/>
        <w:pageBreakBefore w:val="0"/>
        <w:widowControl w:val="0"/>
        <w:numPr>
          <w:ilvl w:val="0"/>
          <w:numId w:val="4"/>
        </w:numPr>
        <w:kinsoku/>
        <w:wordWrap/>
        <w:overflowPunct/>
        <w:topLinePunct w:val="0"/>
        <w:autoSpaceDE/>
        <w:autoSpaceDN/>
        <w:bidi w:val="0"/>
        <w:adjustRightInd/>
        <w:snapToGrid/>
        <w:spacing w:before="0" w:after="0" w:line="240" w:lineRule="auto"/>
        <w:ind w:firstLine="640" w:firstLineChars="200"/>
        <w:textAlignment w:val="auto"/>
        <w:rPr>
          <w:rFonts w:hint="eastAsia" w:ascii="Arial" w:hAnsi="Arial"/>
          <w:b w:val="0"/>
          <w:lang w:val="en-US" w:eastAsia="zh-CN"/>
        </w:rPr>
      </w:pPr>
      <w:r>
        <w:rPr>
          <w:rFonts w:hint="eastAsia" w:ascii="Arial" w:hAnsi="Arial"/>
          <w:b w:val="0"/>
          <w:lang w:val="en-US" w:eastAsia="zh-CN"/>
        </w:rPr>
        <w:t>制定标准的原则和依据，与现行法律、法规、标准的关系</w:t>
      </w:r>
    </w:p>
    <w:p w14:paraId="74C16F7B">
      <w:pPr>
        <w:pStyle w:val="4"/>
        <w:numPr>
          <w:ilvl w:val="0"/>
          <w:numId w:val="8"/>
        </w:numPr>
        <w:bidi w:val="0"/>
        <w:ind w:firstLine="720"/>
        <w:rPr>
          <w:rFonts w:hint="eastAsia"/>
          <w:lang w:val="en-US" w:eastAsia="zh-CN"/>
        </w:rPr>
      </w:pPr>
      <w:r>
        <w:rPr>
          <w:rFonts w:hint="eastAsia"/>
          <w:lang w:val="en-US" w:eastAsia="zh-CN"/>
        </w:rPr>
        <w:t>制定原则</w:t>
      </w:r>
    </w:p>
    <w:p w14:paraId="7DC6C31A">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kern w:val="2"/>
          <w:highlight w:val="none"/>
          <w:lang w:val="en-US" w:eastAsia="zh-CN"/>
        </w:rPr>
      </w:pPr>
      <w:r>
        <w:rPr>
          <w:rFonts w:hint="eastAsia"/>
          <w:kern w:val="2"/>
          <w:highlight w:val="none"/>
          <w:lang w:val="en-US" w:eastAsia="zh-CN"/>
        </w:rPr>
        <w:t>本标准基于云南仓储害虫生物学特性及气候规律，充分考虑技术发展水平和实际需求，采用科学方法制定，确保技术规程的科学性；符合国家法律法规和</w:t>
      </w:r>
      <w:r>
        <w:rPr>
          <w:rFonts w:hint="eastAsia" w:ascii="方正仿宋_GB2312" w:hAnsi="方正仿宋_GB2312" w:eastAsia="方正仿宋_GB2312" w:cs="方正仿宋_GB2312"/>
          <w:b w:val="0"/>
          <w:sz w:val="32"/>
          <w:szCs w:val="32"/>
          <w:lang w:val="en-US" w:eastAsia="zh-CN"/>
        </w:rPr>
        <w:t>《云南省"十四五"烟草产业发展规划》巩固云南烟叶在全国原料供给体系中的主导地位</w:t>
      </w:r>
      <w:r>
        <w:rPr>
          <w:rFonts w:hint="eastAsia" w:ascii="方正仿宋_GB2312" w:hAnsi="方正仿宋_GB2312" w:cs="方正仿宋_GB2312"/>
          <w:b w:val="0"/>
          <w:sz w:val="32"/>
          <w:szCs w:val="32"/>
          <w:lang w:val="en-US" w:eastAsia="zh-CN"/>
        </w:rPr>
        <w:t>战略要求；</w:t>
      </w:r>
      <w:r>
        <w:rPr>
          <w:rFonts w:hint="eastAsia"/>
          <w:kern w:val="2"/>
          <w:highlight w:val="none"/>
          <w:lang w:val="en-US" w:eastAsia="zh-CN"/>
        </w:rPr>
        <w:t>拟规定</w:t>
      </w:r>
      <w:r>
        <w:rPr>
          <w:rFonts w:hint="eastAsia" w:ascii="方正仿宋_GB2312" w:hAnsi="方正仿宋_GB2312" w:eastAsia="方正仿宋_GB2312" w:cs="方正仿宋_GB2312"/>
          <w:b w:val="0"/>
          <w:sz w:val="32"/>
          <w:szCs w:val="32"/>
          <w:lang w:val="en-US" w:eastAsia="zh-CN"/>
        </w:rPr>
        <w:t>烟叶(原烟、片烟)储存过程中有害昆虫的防控技术要求，</w:t>
      </w:r>
      <w:r>
        <w:rPr>
          <w:rFonts w:hint="eastAsia" w:ascii="方正仿宋_GB2312" w:hAnsi="方正仿宋_GB2312" w:cs="方正仿宋_GB2312"/>
          <w:b w:val="0"/>
          <w:sz w:val="32"/>
          <w:szCs w:val="32"/>
          <w:lang w:val="en-US" w:eastAsia="zh-CN"/>
        </w:rPr>
        <w:t>标准内容可满足</w:t>
      </w:r>
      <w:r>
        <w:rPr>
          <w:rFonts w:hint="eastAsia" w:ascii="方正仿宋_GB2312" w:hAnsi="方正仿宋_GB2312" w:eastAsia="方正仿宋_GB2312" w:cs="方正仿宋_GB2312"/>
          <w:b w:val="0"/>
          <w:sz w:val="32"/>
          <w:szCs w:val="32"/>
          <w:lang w:val="en-US" w:eastAsia="zh-CN"/>
        </w:rPr>
        <w:t>烟草企业烟叶(原烟、半成品、成品)</w:t>
      </w:r>
      <w:r>
        <w:rPr>
          <w:rFonts w:hint="eastAsia" w:ascii="方正仿宋_GB2312" w:hAnsi="方正仿宋_GB2312" w:cs="方正仿宋_GB2312"/>
          <w:b w:val="0"/>
          <w:sz w:val="32"/>
          <w:szCs w:val="32"/>
          <w:lang w:val="en-US" w:eastAsia="zh-CN"/>
        </w:rPr>
        <w:t>不同</w:t>
      </w:r>
      <w:r>
        <w:rPr>
          <w:rFonts w:hint="eastAsia" w:ascii="方正仿宋_GB2312" w:hAnsi="方正仿宋_GB2312" w:eastAsia="方正仿宋_GB2312" w:cs="方正仿宋_GB2312"/>
          <w:b w:val="0"/>
          <w:sz w:val="32"/>
          <w:szCs w:val="32"/>
          <w:lang w:val="en-US" w:eastAsia="zh-CN"/>
        </w:rPr>
        <w:t>储存</w:t>
      </w:r>
      <w:r>
        <w:rPr>
          <w:rFonts w:hint="eastAsia" w:ascii="方正仿宋_GB2312" w:hAnsi="方正仿宋_GB2312" w:cs="方正仿宋_GB2312"/>
          <w:b w:val="0"/>
          <w:sz w:val="32"/>
          <w:szCs w:val="32"/>
          <w:lang w:val="en-US" w:eastAsia="zh-CN"/>
        </w:rPr>
        <w:t>条件下的</w:t>
      </w:r>
      <w:r>
        <w:rPr>
          <w:rFonts w:hint="eastAsia"/>
          <w:kern w:val="2"/>
          <w:highlight w:val="none"/>
          <w:lang w:val="en-US" w:eastAsia="zh-CN"/>
        </w:rPr>
        <w:t>害虫防</w:t>
      </w:r>
      <w:r>
        <w:rPr>
          <w:spacing w:val="2"/>
        </w:rPr>
        <w:t>控</w:t>
      </w:r>
      <w:r>
        <w:rPr>
          <w:rFonts w:hint="eastAsia"/>
          <w:spacing w:val="2"/>
          <w:lang w:eastAsia="zh-CN"/>
        </w:rPr>
        <w:t>，</w:t>
      </w:r>
      <w:r>
        <w:rPr>
          <w:rFonts w:hint="eastAsia"/>
          <w:kern w:val="2"/>
          <w:highlight w:val="none"/>
          <w:lang w:val="en-US" w:eastAsia="zh-CN"/>
        </w:rPr>
        <w:t>具有广泛的适用性。</w:t>
      </w:r>
    </w:p>
    <w:p w14:paraId="5F1A6F7A">
      <w:pPr>
        <w:pStyle w:val="4"/>
        <w:numPr>
          <w:ilvl w:val="0"/>
          <w:numId w:val="8"/>
        </w:numPr>
        <w:bidi w:val="0"/>
        <w:ind w:firstLine="720"/>
        <w:rPr>
          <w:rFonts w:hint="eastAsia"/>
          <w:lang w:val="en-US" w:eastAsia="zh-CN"/>
        </w:rPr>
      </w:pPr>
      <w:r>
        <w:rPr>
          <w:rFonts w:hint="eastAsia"/>
          <w:lang w:val="en-US" w:eastAsia="zh-CN"/>
        </w:rPr>
        <w:t>制定依据</w:t>
      </w:r>
    </w:p>
    <w:p w14:paraId="7DCC6DAD">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kern w:val="2"/>
          <w:highlight w:val="none"/>
          <w:lang w:val="en-US" w:eastAsia="zh-CN"/>
        </w:rPr>
      </w:pPr>
      <w:r>
        <w:rPr>
          <w:rFonts w:hint="eastAsia"/>
          <w:kern w:val="2"/>
          <w:highlight w:val="none"/>
          <w:lang w:val="en-US" w:eastAsia="zh-CN"/>
        </w:rPr>
        <w:t>本标准基于云南省烟草烟叶公司近几年包括立体高架库、高层仓库、平仓、露天货场等烟叶仓储害虫防治统计情况，依据相关技术文件：GB/T 23220.1-2023 《烟叶储存保管方法 第1部分：原烟》；GB/T 38211 《硫酰氟》；YC/T 300 《片烟贮存养护 自然醇化法》；YC/T 322《片烟气调贮存养护技术规范》要求和技术指标；通过合理设置虫情监测点进行检测预防，并综合运用多种防治技术，定期进行杀虫操作，以及对特殊情况进行紧急处理，通过制定虫情防控“红绿灯”规则，根据不同区域的虫情特点设定防控阈值和相应的处置措施，对该技术的科学性、适应性、广泛性进行了验证。</w:t>
      </w:r>
    </w:p>
    <w:p w14:paraId="1C70A816">
      <w:pPr>
        <w:ind w:firstLine="640" w:firstLineChars="200"/>
        <w:jc w:val="both"/>
        <w:rPr>
          <w:rFonts w:hint="default"/>
          <w:kern w:val="2"/>
          <w:highlight w:val="none"/>
          <w:lang w:val="en-US" w:eastAsia="zh-CN"/>
        </w:rPr>
      </w:pPr>
      <w:r>
        <w:rPr>
          <w:rFonts w:hint="eastAsia"/>
          <w:kern w:val="2"/>
          <w:highlight w:val="none"/>
          <w:lang w:val="en-US" w:eastAsia="zh-CN"/>
        </w:rPr>
        <w:t>本标准主要内容包括：</w:t>
      </w:r>
      <w:r>
        <w:rPr>
          <w:rFonts w:hint="eastAsia" w:ascii="仿宋_GB2312" w:hAnsi="黑体" w:eastAsia="仿宋_GB2312"/>
          <w:sz w:val="32"/>
          <w:szCs w:val="32"/>
        </w:rPr>
        <w:t>1 范围；2 规范性引用文件；3术语和定义；4 防治方针</w:t>
      </w:r>
      <w:r>
        <w:rPr>
          <w:rFonts w:hint="eastAsia" w:ascii="仿宋_GB2312" w:hAnsi="黑体" w:eastAsia="仿宋_GB2312"/>
          <w:sz w:val="32"/>
          <w:szCs w:val="32"/>
          <w:lang w:val="en-US" w:eastAsia="zh-CN"/>
        </w:rPr>
        <w:t>和原则</w:t>
      </w:r>
      <w:r>
        <w:rPr>
          <w:rFonts w:hint="eastAsia" w:ascii="仿宋_GB2312" w:hAnsi="黑体" w:eastAsia="仿宋_GB2312"/>
          <w:sz w:val="32"/>
          <w:szCs w:val="32"/>
        </w:rPr>
        <w:t xml:space="preserve">；5 </w:t>
      </w:r>
      <w:r>
        <w:rPr>
          <w:rFonts w:hint="eastAsia" w:ascii="仿宋_GB2312" w:hAnsi="黑体" w:eastAsia="仿宋_GB2312"/>
          <w:sz w:val="32"/>
          <w:szCs w:val="32"/>
          <w:lang w:val="en-US" w:eastAsia="zh-CN"/>
        </w:rPr>
        <w:t>基本</w:t>
      </w:r>
      <w:r>
        <w:rPr>
          <w:rFonts w:hint="eastAsia" w:ascii="仿宋_GB2312" w:hAnsi="黑体" w:eastAsia="仿宋_GB2312"/>
          <w:sz w:val="32"/>
          <w:szCs w:val="32"/>
        </w:rPr>
        <w:t xml:space="preserve">要求；6 </w:t>
      </w:r>
      <w:r>
        <w:t>虫害预防</w:t>
      </w:r>
      <w:r>
        <w:rPr>
          <w:rFonts w:hint="eastAsia" w:ascii="仿宋_GB2312" w:hAnsi="黑体" w:eastAsia="仿宋_GB2312"/>
          <w:sz w:val="32"/>
          <w:szCs w:val="32"/>
        </w:rPr>
        <w:t>；</w:t>
      </w:r>
      <w:r>
        <w:rPr>
          <w:rFonts w:hint="eastAsia" w:ascii="仿宋_GB2312" w:hAnsi="黑体" w:eastAsia="仿宋_GB2312"/>
          <w:sz w:val="32"/>
          <w:szCs w:val="32"/>
          <w:highlight w:val="none"/>
        </w:rPr>
        <w:t xml:space="preserve">7 </w:t>
      </w:r>
      <w:r>
        <w:t>虫情监测</w:t>
      </w:r>
      <w:r>
        <w:rPr>
          <w:rFonts w:hint="eastAsia"/>
          <w:lang w:val="en-US" w:eastAsia="zh-CN"/>
        </w:rPr>
        <w:t>及处置；</w:t>
      </w:r>
      <w:r>
        <w:rPr>
          <w:rFonts w:hint="eastAsia" w:ascii="仿宋_GB2312" w:hAnsi="黑体" w:eastAsia="仿宋_GB2312"/>
          <w:sz w:val="32"/>
          <w:szCs w:val="32"/>
          <w:lang w:val="en-US" w:eastAsia="zh-CN"/>
        </w:rPr>
        <w:t>8 效果调查（记录与跟踪）</w:t>
      </w:r>
      <w:r>
        <w:rPr>
          <w:rFonts w:hint="eastAsia" w:ascii="仿宋_GB2312" w:hAnsi="黑体" w:eastAsia="仿宋_GB2312"/>
          <w:sz w:val="32"/>
          <w:szCs w:val="32"/>
          <w:highlight w:val="none"/>
        </w:rPr>
        <w:t>。</w:t>
      </w:r>
    </w:p>
    <w:p w14:paraId="0D45EA26">
      <w:pPr>
        <w:pStyle w:val="4"/>
        <w:numPr>
          <w:ilvl w:val="0"/>
          <w:numId w:val="8"/>
        </w:numPr>
        <w:bidi w:val="0"/>
        <w:ind w:firstLine="720"/>
        <w:rPr>
          <w:rFonts w:hint="eastAsia"/>
          <w:lang w:val="en-US" w:eastAsia="zh-CN"/>
        </w:rPr>
      </w:pPr>
      <w:r>
        <w:rPr>
          <w:rFonts w:hint="eastAsia"/>
          <w:lang w:val="en-US" w:eastAsia="zh-CN"/>
        </w:rPr>
        <w:t>标准与现行法律、法规、标准的关系</w:t>
      </w:r>
    </w:p>
    <w:p w14:paraId="43CB9E09">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kern w:val="2"/>
          <w:highlight w:val="none"/>
          <w:lang w:val="en-US" w:eastAsia="zh-CN"/>
        </w:rPr>
      </w:pPr>
      <w:r>
        <w:rPr>
          <w:rFonts w:hint="eastAsia"/>
          <w:kern w:val="2"/>
          <w:highlight w:val="none"/>
          <w:lang w:val="en-US" w:eastAsia="zh-CN"/>
        </w:rPr>
        <w:t>本标准</w:t>
      </w:r>
      <w:r>
        <w:rPr>
          <w:rFonts w:hint="eastAsia"/>
          <w:spacing w:val="5"/>
          <w:lang w:val="en-US" w:eastAsia="zh-CN"/>
        </w:rPr>
        <w:t>与</w:t>
      </w:r>
      <w:r>
        <w:rPr>
          <w:rFonts w:hint="eastAsia"/>
          <w:kern w:val="2"/>
          <w:highlight w:val="none"/>
          <w:lang w:val="en-US" w:eastAsia="zh-CN"/>
        </w:rPr>
        <w:t>我国现行的</w:t>
      </w:r>
      <w:r>
        <w:rPr>
          <w:rFonts w:hint="eastAsia"/>
          <w:spacing w:val="5"/>
          <w:lang w:val="en-US" w:eastAsia="zh-CN"/>
        </w:rPr>
        <w:t>《中华人民共和国烟草专卖法》、《农药管理条例》等上位法衔接，兼容现行国家标准、行业标准技术框架。</w:t>
      </w:r>
      <w:r>
        <w:rPr>
          <w:rFonts w:hint="eastAsia"/>
          <w:kern w:val="2"/>
          <w:highlight w:val="none"/>
          <w:lang w:val="en-US" w:eastAsia="zh-CN"/>
        </w:rPr>
        <w:t>术语定义、检测方法、评价指标与现行标准体系保持一致。与其他有关的现行法律、法规和强制性标准无抵触。</w:t>
      </w:r>
    </w:p>
    <w:p w14:paraId="71D09D90">
      <w:pPr>
        <w:pStyle w:val="3"/>
        <w:keepNext/>
        <w:keepLines/>
        <w:pageBreakBefore w:val="0"/>
        <w:widowControl w:val="0"/>
        <w:numPr>
          <w:ilvl w:val="0"/>
          <w:numId w:val="4"/>
        </w:numPr>
        <w:kinsoku/>
        <w:wordWrap/>
        <w:overflowPunct/>
        <w:topLinePunct w:val="0"/>
        <w:autoSpaceDE/>
        <w:autoSpaceDN/>
        <w:bidi w:val="0"/>
        <w:adjustRightInd/>
        <w:snapToGrid/>
        <w:spacing w:before="0" w:after="0" w:line="240" w:lineRule="auto"/>
        <w:ind w:firstLine="640" w:firstLineChars="200"/>
        <w:textAlignment w:val="auto"/>
        <w:rPr>
          <w:rFonts w:hint="eastAsia" w:ascii="Arial" w:hAnsi="Arial"/>
          <w:b w:val="0"/>
          <w:lang w:val="en-US" w:eastAsia="zh-CN"/>
        </w:rPr>
      </w:pPr>
      <w:r>
        <w:rPr>
          <w:rFonts w:hint="eastAsia" w:ascii="Arial" w:hAnsi="Arial"/>
          <w:b w:val="0"/>
          <w:lang w:val="en-US" w:eastAsia="zh-CN"/>
        </w:rPr>
        <w:t>主要条款的说明，主要技术指标、参数、试验验证的论述</w:t>
      </w:r>
    </w:p>
    <w:p w14:paraId="5BEAF165">
      <w:pPr>
        <w:pStyle w:val="4"/>
        <w:numPr>
          <w:ilvl w:val="0"/>
          <w:numId w:val="9"/>
        </w:numPr>
        <w:bidi w:val="0"/>
        <w:ind w:firstLine="720"/>
        <w:rPr>
          <w:rFonts w:hint="default"/>
          <w:lang w:val="en-US" w:eastAsia="zh-CN"/>
        </w:rPr>
      </w:pPr>
      <w:r>
        <w:rPr>
          <w:rFonts w:hint="eastAsia"/>
          <w:lang w:val="en-US" w:eastAsia="zh-CN"/>
        </w:rPr>
        <w:t>整体技术路线</w:t>
      </w:r>
    </w:p>
    <w:p w14:paraId="53E5F836">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default"/>
          <w:kern w:val="2"/>
          <w:highlight w:val="none"/>
          <w:lang w:val="en-US" w:eastAsia="zh-CN"/>
        </w:rPr>
      </w:pPr>
      <w:r>
        <w:rPr>
          <w:rFonts w:hint="default"/>
          <w:kern w:val="2"/>
          <w:highlight w:val="none"/>
          <w:lang w:val="en-US" w:eastAsia="zh-CN"/>
        </w:rPr>
        <w:t>技术方案：参考国内外相关技术标准，调研当前云南省打叶复烤企业烟叶仓储害虫综合防控技术现状，初步梳理形成标准条款参数；通过打叶复烤关键环节仓储害虫防控技术效果试验，对获得的试验数据进行整理分析，并集成现有仓储害虫防控技术研究成果，完成云南省地方标准《打叶复烤仓储害虫综合防控技术规程》征求意见稿。在省内广泛征求意见后，根据专家评审意见修改完成送审稿，报送云南省市场监督管理局。</w:t>
      </w:r>
    </w:p>
    <w:p w14:paraId="4081E814">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default"/>
          <w:kern w:val="2"/>
          <w:highlight w:val="none"/>
          <w:lang w:val="en-US" w:eastAsia="zh-CN"/>
        </w:rPr>
      </w:pPr>
      <w:r>
        <w:rPr>
          <w:rFonts w:hint="default"/>
          <w:kern w:val="2"/>
          <w:highlight w:val="none"/>
          <w:lang w:val="en-US" w:eastAsia="zh-CN"/>
        </w:rPr>
        <w:t>试验方法：收集整理以往相关实验结果，同时对重点的物理防治、生物防治及化学防治方法进行技术效果试验，进行系统性的效果试验和调研，验证相关技术参数，保障相关技术条款的科学性和适用性。</w:t>
      </w:r>
    </w:p>
    <w:p w14:paraId="1C5F5BA4">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default"/>
          <w:kern w:val="2"/>
          <w:highlight w:val="none"/>
          <w:lang w:val="en-US" w:eastAsia="zh-CN"/>
        </w:rPr>
      </w:pPr>
      <w:r>
        <w:rPr>
          <w:rFonts w:hint="default"/>
          <w:kern w:val="2"/>
          <w:highlight w:val="none"/>
          <w:lang w:val="en-US" w:eastAsia="zh-CN"/>
        </w:rPr>
        <w:drawing>
          <wp:inline distT="0" distB="0" distL="114300" distR="114300">
            <wp:extent cx="4376420" cy="2616835"/>
            <wp:effectExtent l="0" t="0" r="12700" b="4445"/>
            <wp:docPr id="15" name="图片 15" descr="微信截图_2025070910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微信截图_20250709101748"/>
                    <pic:cNvPicPr>
                      <a:picLocks noChangeAspect="1"/>
                    </pic:cNvPicPr>
                  </pic:nvPicPr>
                  <pic:blipFill>
                    <a:blip r:embed="rId5"/>
                    <a:stretch>
                      <a:fillRect/>
                    </a:stretch>
                  </pic:blipFill>
                  <pic:spPr>
                    <a:xfrm>
                      <a:off x="0" y="0"/>
                      <a:ext cx="4376420" cy="2616835"/>
                    </a:xfrm>
                    <a:prstGeom prst="rect">
                      <a:avLst/>
                    </a:prstGeom>
                  </pic:spPr>
                </pic:pic>
              </a:graphicData>
            </a:graphic>
          </wp:inline>
        </w:drawing>
      </w:r>
    </w:p>
    <w:p w14:paraId="39459B0E">
      <w:pPr>
        <w:jc w:val="center"/>
        <w:rPr>
          <w:rFonts w:hint="default"/>
          <w:lang w:val="en-US" w:eastAsia="zh-CN"/>
        </w:rPr>
      </w:pPr>
      <w:r>
        <w:rPr>
          <w:rFonts w:hint="eastAsia"/>
          <w:lang w:val="en-US" w:eastAsia="zh-CN"/>
        </w:rPr>
        <w:t>技术路线示意图</w:t>
      </w:r>
    </w:p>
    <w:p w14:paraId="764FF293">
      <w:pPr>
        <w:pStyle w:val="4"/>
        <w:numPr>
          <w:ilvl w:val="0"/>
          <w:numId w:val="9"/>
        </w:numPr>
        <w:bidi w:val="0"/>
        <w:ind w:firstLine="720"/>
        <w:rPr>
          <w:rFonts w:hint="default"/>
          <w:lang w:val="en-US" w:eastAsia="zh-CN"/>
        </w:rPr>
      </w:pPr>
      <w:r>
        <w:rPr>
          <w:rFonts w:hint="eastAsia"/>
          <w:lang w:val="en-US" w:eastAsia="zh-CN"/>
        </w:rPr>
        <w:t>标准条款“6.1 设施设备要求”</w:t>
      </w:r>
    </w:p>
    <w:p w14:paraId="7F611D3C">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default"/>
          <w:kern w:val="2"/>
          <w:highlight w:val="none"/>
          <w:lang w:val="en-US" w:eastAsia="zh-CN"/>
        </w:rPr>
      </w:pPr>
      <w:r>
        <w:rPr>
          <w:rFonts w:hint="eastAsia"/>
          <w:kern w:val="2"/>
          <w:highlight w:val="none"/>
          <w:lang w:val="en-US" w:eastAsia="zh-CN"/>
        </w:rPr>
        <w:t>原烟周转及复烤环节储存与保管仓库环境及设施设备基础建设部分均应满足GB/T 23220.1-2023中关于原烟仓库环境及设施设备要求。标准中仅对虫害预防设施做相关规定。</w:t>
      </w:r>
    </w:p>
    <w:p w14:paraId="14859B5D">
      <w:pPr>
        <w:pStyle w:val="4"/>
        <w:numPr>
          <w:ilvl w:val="0"/>
          <w:numId w:val="9"/>
        </w:numPr>
        <w:bidi w:val="0"/>
        <w:ind w:firstLine="720"/>
        <w:rPr>
          <w:rFonts w:hint="default"/>
          <w:lang w:val="en-US" w:eastAsia="zh-CN"/>
        </w:rPr>
      </w:pPr>
      <w:r>
        <w:rPr>
          <w:rFonts w:hint="eastAsia"/>
          <w:lang w:val="en-US" w:eastAsia="zh-CN"/>
        </w:rPr>
        <w:t>标准条款“7.1 出入库虫情监测及处置”</w:t>
      </w:r>
    </w:p>
    <w:p w14:paraId="37E8B1D8">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default"/>
          <w:kern w:val="2"/>
          <w:highlight w:val="none"/>
          <w:lang w:val="en-US" w:eastAsia="zh-CN"/>
        </w:rPr>
      </w:pPr>
      <w:r>
        <w:rPr>
          <w:rFonts w:hint="eastAsia"/>
          <w:kern w:val="2"/>
          <w:highlight w:val="none"/>
          <w:lang w:val="en-US" w:eastAsia="zh-CN"/>
        </w:rPr>
        <w:t>原烟交接检验时均需进行检验，异常烟叶需处理完成后方可进入流转，虫情检验式需按照 GB/T 23220.1执行。如有虫害，测算尸屑率（烟梗、碎末只记录是否有虫害，不测算尸屑率）。根据尸屑率分级处理。</w:t>
      </w:r>
    </w:p>
    <w:p w14:paraId="4E71913C">
      <w:pPr>
        <w:pStyle w:val="4"/>
        <w:numPr>
          <w:ilvl w:val="0"/>
          <w:numId w:val="9"/>
        </w:numPr>
        <w:bidi w:val="0"/>
        <w:ind w:firstLine="720"/>
        <w:rPr>
          <w:rFonts w:hint="default"/>
          <w:lang w:val="en-US" w:eastAsia="zh-CN"/>
        </w:rPr>
      </w:pPr>
      <w:r>
        <w:rPr>
          <w:rFonts w:hint="eastAsia"/>
          <w:lang w:val="en-US" w:eastAsia="zh-CN"/>
        </w:rPr>
        <w:t>标准条款“7.2.2 生产现场”</w:t>
      </w:r>
    </w:p>
    <w:p w14:paraId="224FFDDB">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kern w:val="2"/>
          <w:highlight w:val="none"/>
          <w:lang w:val="en-US" w:eastAsia="zh-CN"/>
        </w:rPr>
      </w:pPr>
      <w:r>
        <w:rPr>
          <w:rFonts w:hint="eastAsia"/>
          <w:kern w:val="2"/>
          <w:highlight w:val="none"/>
          <w:lang w:val="en-US" w:eastAsia="zh-CN"/>
        </w:rPr>
        <w:t>根据生产现场规模和环境，悬挂烟草甲虫和烟草粉螟性激素诱捕板，诱捕板悬挂在离地面1.5 m处,每200 m²仓库悬挂烟草甲虫和烟草粉螟性激素诱捕板各1块。诱捕板每4周更换1次,若诱捕板上附有积灰或污染,导致失效,应及时更换,并做好更换记录。每周统计诱捕头数并记录。各工序现场放置示意图如下：</w:t>
      </w:r>
    </w:p>
    <w:p w14:paraId="1901331C">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kern w:val="2"/>
          <w:highlight w:val="none"/>
          <w:lang w:val="en-US" w:eastAsia="zh-CN"/>
        </w:rPr>
      </w:pPr>
      <w:r>
        <w:rPr>
          <w:rFonts w:hint="default"/>
          <w:kern w:val="2"/>
          <w:highlight w:val="none"/>
          <w:lang w:val="en-US" w:eastAsia="zh-CN"/>
        </w:rPr>
        <w:drawing>
          <wp:inline distT="0" distB="0" distL="114300" distR="114300">
            <wp:extent cx="4961890" cy="1570990"/>
            <wp:effectExtent l="0" t="0" r="0" b="0"/>
            <wp:docPr id="17" name="图片 17" descr="1752039827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52039827120"/>
                    <pic:cNvPicPr>
                      <a:picLocks noChangeAspect="1"/>
                    </pic:cNvPicPr>
                  </pic:nvPicPr>
                  <pic:blipFill>
                    <a:blip r:embed="rId6"/>
                    <a:srcRect l="10875" t="-40" r="1876"/>
                    <a:stretch>
                      <a:fillRect/>
                    </a:stretch>
                  </pic:blipFill>
                  <pic:spPr>
                    <a:xfrm>
                      <a:off x="0" y="0"/>
                      <a:ext cx="4961890" cy="1570990"/>
                    </a:xfrm>
                    <a:prstGeom prst="rect">
                      <a:avLst/>
                    </a:prstGeom>
                  </pic:spPr>
                </pic:pic>
              </a:graphicData>
            </a:graphic>
          </wp:inline>
        </w:drawing>
      </w:r>
    </w:p>
    <w:p w14:paraId="166CE0EB">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center"/>
        <w:textAlignment w:val="auto"/>
        <w:rPr>
          <w:rFonts w:hint="eastAsia"/>
          <w:kern w:val="2"/>
          <w:highlight w:val="none"/>
          <w:lang w:val="en-US" w:eastAsia="zh-CN"/>
        </w:rPr>
      </w:pPr>
      <w:r>
        <w:rPr>
          <w:rFonts w:hint="eastAsia"/>
          <w:kern w:val="2"/>
          <w:highlight w:val="none"/>
          <w:lang w:val="en-US" w:eastAsia="zh-CN"/>
        </w:rPr>
        <w:t>分选样品间虫卡分布图</w:t>
      </w:r>
    </w:p>
    <w:p w14:paraId="3DB2CF90">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kern w:val="2"/>
          <w:highlight w:val="none"/>
          <w:lang w:val="en-US" w:eastAsia="zh-CN"/>
        </w:rPr>
      </w:pPr>
      <w:r>
        <w:rPr>
          <w:rFonts w:hint="default"/>
          <w:kern w:val="2"/>
          <w:highlight w:val="none"/>
          <w:lang w:val="en-US" w:eastAsia="zh-CN"/>
        </w:rPr>
        <w:drawing>
          <wp:inline distT="0" distB="0" distL="114300" distR="114300">
            <wp:extent cx="3422650" cy="3312795"/>
            <wp:effectExtent l="0" t="0" r="6350" b="9525"/>
            <wp:docPr id="18" name="图片 18" descr="175204001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752040015131"/>
                    <pic:cNvPicPr>
                      <a:picLocks noChangeAspect="1"/>
                    </pic:cNvPicPr>
                  </pic:nvPicPr>
                  <pic:blipFill>
                    <a:blip r:embed="rId7"/>
                    <a:srcRect b="15161"/>
                    <a:stretch>
                      <a:fillRect/>
                    </a:stretch>
                  </pic:blipFill>
                  <pic:spPr>
                    <a:xfrm>
                      <a:off x="0" y="0"/>
                      <a:ext cx="3422650" cy="3312795"/>
                    </a:xfrm>
                    <a:prstGeom prst="rect">
                      <a:avLst/>
                    </a:prstGeom>
                  </pic:spPr>
                </pic:pic>
              </a:graphicData>
            </a:graphic>
          </wp:inline>
        </w:drawing>
      </w:r>
    </w:p>
    <w:p w14:paraId="1BB83533">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center"/>
        <w:textAlignment w:val="auto"/>
        <w:rPr>
          <w:rFonts w:hint="eastAsia"/>
          <w:kern w:val="2"/>
          <w:highlight w:val="none"/>
          <w:lang w:val="en-US" w:eastAsia="zh-CN"/>
        </w:rPr>
      </w:pPr>
      <w:r>
        <w:rPr>
          <w:rFonts w:hint="eastAsia"/>
          <w:kern w:val="2"/>
          <w:highlight w:val="none"/>
          <w:lang w:val="en-US" w:eastAsia="zh-CN"/>
        </w:rPr>
        <w:t>分选车间虫卡分</w:t>
      </w:r>
    </w:p>
    <w:p w14:paraId="76F57160">
      <w:pPr>
        <w:keepNext w:val="0"/>
        <w:keepLines w:val="0"/>
        <w:pageBreakBefore w:val="0"/>
        <w:widowControl w:val="0"/>
        <w:numPr>
          <w:ilvl w:val="0"/>
          <w:numId w:val="0"/>
        </w:numPr>
        <w:kinsoku/>
        <w:wordWrap/>
        <w:overflowPunct/>
        <w:topLinePunct w:val="0"/>
        <w:autoSpaceDE/>
        <w:autoSpaceDN/>
        <w:bidi w:val="0"/>
        <w:adjustRightInd/>
        <w:snapToGrid/>
        <w:jc w:val="both"/>
        <w:textAlignment w:val="auto"/>
        <w:rPr>
          <w:rFonts w:hint="eastAsia"/>
          <w:kern w:val="2"/>
          <w:highlight w:val="none"/>
          <w:lang w:val="en-US" w:eastAsia="zh-CN"/>
        </w:rPr>
      </w:pPr>
      <w:r>
        <w:rPr>
          <w:rFonts w:hint="eastAsia"/>
          <w:kern w:val="2"/>
          <w:highlight w:val="none"/>
          <w:lang w:val="en-US" w:eastAsia="zh-CN"/>
        </w:rPr>
        <w:drawing>
          <wp:inline distT="0" distB="0" distL="114300" distR="114300">
            <wp:extent cx="2496820" cy="1798955"/>
            <wp:effectExtent l="0" t="0" r="2540" b="14605"/>
            <wp:docPr id="19" name="图片 19" descr="1752040095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752040095337"/>
                    <pic:cNvPicPr>
                      <a:picLocks noChangeAspect="1"/>
                    </pic:cNvPicPr>
                  </pic:nvPicPr>
                  <pic:blipFill>
                    <a:blip r:embed="rId8"/>
                    <a:srcRect t="2827" r="2853" b="2329"/>
                    <a:stretch>
                      <a:fillRect/>
                    </a:stretch>
                  </pic:blipFill>
                  <pic:spPr>
                    <a:xfrm>
                      <a:off x="0" y="0"/>
                      <a:ext cx="2496820" cy="1798955"/>
                    </a:xfrm>
                    <a:prstGeom prst="rect">
                      <a:avLst/>
                    </a:prstGeom>
                  </pic:spPr>
                </pic:pic>
              </a:graphicData>
            </a:graphic>
          </wp:inline>
        </w:drawing>
      </w:r>
      <w:r>
        <w:rPr>
          <w:rFonts w:hint="eastAsia"/>
          <w:kern w:val="2"/>
          <w:highlight w:val="none"/>
          <w:lang w:val="en-US" w:eastAsia="zh-CN"/>
        </w:rPr>
        <w:t xml:space="preserve">         </w:t>
      </w:r>
      <w:r>
        <w:rPr>
          <w:rFonts w:hint="eastAsia"/>
          <w:kern w:val="2"/>
          <w:highlight w:val="none"/>
          <w:lang w:val="en-US" w:eastAsia="zh-CN"/>
        </w:rPr>
        <w:drawing>
          <wp:inline distT="0" distB="0" distL="114300" distR="114300">
            <wp:extent cx="1758315" cy="2245360"/>
            <wp:effectExtent l="0" t="0" r="9525" b="10160"/>
            <wp:docPr id="20" name="图片 20" descr="175204011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752040111723"/>
                    <pic:cNvPicPr>
                      <a:picLocks noChangeAspect="1"/>
                    </pic:cNvPicPr>
                  </pic:nvPicPr>
                  <pic:blipFill>
                    <a:blip r:embed="rId9"/>
                    <a:srcRect l="3271" t="4484" r="7639" b="9658"/>
                    <a:stretch>
                      <a:fillRect/>
                    </a:stretch>
                  </pic:blipFill>
                  <pic:spPr>
                    <a:xfrm>
                      <a:off x="0" y="0"/>
                      <a:ext cx="1758315" cy="2245360"/>
                    </a:xfrm>
                    <a:prstGeom prst="rect">
                      <a:avLst/>
                    </a:prstGeom>
                  </pic:spPr>
                </pic:pic>
              </a:graphicData>
            </a:graphic>
          </wp:inline>
        </w:drawing>
      </w:r>
    </w:p>
    <w:p w14:paraId="44379828">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kern w:val="2"/>
          <w:highlight w:val="none"/>
          <w:lang w:val="en-US" w:eastAsia="zh-CN"/>
        </w:rPr>
      </w:pPr>
      <w:r>
        <w:rPr>
          <w:rFonts w:hint="eastAsia"/>
          <w:kern w:val="2"/>
          <w:highlight w:val="none"/>
          <w:lang w:val="en-US" w:eastAsia="zh-CN"/>
        </w:rPr>
        <w:t>解包库虫卡分布图</w:t>
      </w:r>
    </w:p>
    <w:p w14:paraId="0CEC3624">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kern w:val="2"/>
          <w:highlight w:val="none"/>
          <w:lang w:val="en-US" w:eastAsia="zh-CN"/>
        </w:rPr>
      </w:pPr>
      <w:r>
        <w:rPr>
          <w:rFonts w:hint="eastAsia"/>
          <w:kern w:val="2"/>
          <w:highlight w:val="none"/>
          <w:lang w:val="en-US" w:eastAsia="zh-CN"/>
        </w:rPr>
        <w:drawing>
          <wp:inline distT="0" distB="0" distL="114300" distR="114300">
            <wp:extent cx="5687695" cy="2614295"/>
            <wp:effectExtent l="0" t="0" r="12065" b="6985"/>
            <wp:docPr id="21" name="图片 21" descr="1752040220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752040220821"/>
                    <pic:cNvPicPr>
                      <a:picLocks noChangeAspect="1"/>
                    </pic:cNvPicPr>
                  </pic:nvPicPr>
                  <pic:blipFill>
                    <a:blip r:embed="rId10"/>
                    <a:stretch>
                      <a:fillRect/>
                    </a:stretch>
                  </pic:blipFill>
                  <pic:spPr>
                    <a:xfrm>
                      <a:off x="0" y="0"/>
                      <a:ext cx="5687695" cy="2614295"/>
                    </a:xfrm>
                    <a:prstGeom prst="rect">
                      <a:avLst/>
                    </a:prstGeom>
                  </pic:spPr>
                </pic:pic>
              </a:graphicData>
            </a:graphic>
          </wp:inline>
        </w:drawing>
      </w:r>
    </w:p>
    <w:p w14:paraId="7E674D9B">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kern w:val="2"/>
          <w:highlight w:val="none"/>
          <w:lang w:val="en-US" w:eastAsia="zh-CN"/>
        </w:rPr>
      </w:pPr>
      <w:r>
        <w:rPr>
          <w:rFonts w:hint="eastAsia"/>
          <w:kern w:val="2"/>
          <w:highlight w:val="none"/>
          <w:lang w:val="en-US" w:eastAsia="zh-CN"/>
        </w:rPr>
        <w:t>半成品库虫卡分布图</w:t>
      </w:r>
    </w:p>
    <w:p w14:paraId="18A5199E">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kern w:val="2"/>
          <w:highlight w:val="none"/>
          <w:lang w:val="en-US" w:eastAsia="zh-CN"/>
        </w:rPr>
      </w:pPr>
      <w:r>
        <w:rPr>
          <w:rFonts w:hint="default"/>
          <w:kern w:val="2"/>
          <w:highlight w:val="none"/>
          <w:lang w:val="en-US" w:eastAsia="zh-CN"/>
        </w:rPr>
        <w:drawing>
          <wp:inline distT="0" distB="0" distL="114300" distR="114300">
            <wp:extent cx="5684520" cy="3490595"/>
            <wp:effectExtent l="0" t="0" r="0" b="14605"/>
            <wp:docPr id="22" name="图片 22" descr="1752040720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752040720717"/>
                    <pic:cNvPicPr>
                      <a:picLocks noChangeAspect="1"/>
                    </pic:cNvPicPr>
                  </pic:nvPicPr>
                  <pic:blipFill>
                    <a:blip r:embed="rId11"/>
                    <a:stretch>
                      <a:fillRect/>
                    </a:stretch>
                  </pic:blipFill>
                  <pic:spPr>
                    <a:xfrm>
                      <a:off x="0" y="0"/>
                      <a:ext cx="5684520" cy="3490595"/>
                    </a:xfrm>
                    <a:prstGeom prst="rect">
                      <a:avLst/>
                    </a:prstGeom>
                  </pic:spPr>
                </pic:pic>
              </a:graphicData>
            </a:graphic>
          </wp:inline>
        </w:drawing>
      </w:r>
    </w:p>
    <w:p w14:paraId="6909C9EA">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kern w:val="2"/>
          <w:highlight w:val="none"/>
          <w:lang w:val="en-US" w:eastAsia="zh-CN"/>
        </w:rPr>
      </w:pPr>
      <w:r>
        <w:rPr>
          <w:rFonts w:hint="eastAsia"/>
          <w:kern w:val="2"/>
          <w:highlight w:val="none"/>
          <w:lang w:val="en-US" w:eastAsia="zh-CN"/>
        </w:rPr>
        <w:t>打叶车间虫卡分布图</w:t>
      </w:r>
    </w:p>
    <w:p w14:paraId="45B0CA21">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color w:val="000000"/>
          <w:lang w:val="en-US" w:eastAsia="zh-CN"/>
        </w:rPr>
      </w:pPr>
      <w:r>
        <w:rPr>
          <w:rFonts w:hint="eastAsia"/>
          <w:kern w:val="2"/>
          <w:highlight w:val="none"/>
          <w:lang w:val="en-US" w:eastAsia="zh-CN"/>
        </w:rPr>
        <w:t>统计诱捕头数时，各虫卡分别统计记录情况，根据不同区域不同害虫种类的监测数量确定风险等级，并采取相应处置方法。</w:t>
      </w:r>
    </w:p>
    <w:p w14:paraId="41043366">
      <w:pPr>
        <w:pStyle w:val="4"/>
        <w:numPr>
          <w:ilvl w:val="0"/>
          <w:numId w:val="9"/>
        </w:numPr>
        <w:bidi w:val="0"/>
        <w:ind w:firstLine="720"/>
        <w:rPr>
          <w:rFonts w:hint="default"/>
          <w:lang w:val="en-US" w:eastAsia="zh-CN"/>
        </w:rPr>
      </w:pPr>
      <w:r>
        <w:rPr>
          <w:rFonts w:hint="eastAsia"/>
          <w:lang w:val="en-US" w:eastAsia="zh-CN"/>
        </w:rPr>
        <w:t>标准条款“7.2.2 室内仓库”</w:t>
      </w:r>
    </w:p>
    <w:p w14:paraId="63997BC1">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kern w:val="2"/>
          <w:highlight w:val="none"/>
          <w:lang w:val="en-US" w:eastAsia="zh-CN"/>
        </w:rPr>
      </w:pPr>
      <w:r>
        <w:rPr>
          <w:rFonts w:hint="eastAsia"/>
          <w:kern w:val="2"/>
          <w:highlight w:val="none"/>
          <w:lang w:val="en-US" w:eastAsia="zh-CN"/>
        </w:rPr>
        <w:t>根据仓库单层层高分平库仓间和高架库悬挂性诱捕器，层高≤6m为平库仓间，按照每250㎡～300㎡悬挂一个烟草甲虫和烟草螟蛾性诱捕器，悬挂高度1.4 m～1.6 m，悬挂位置宜距离仓库库门10 m以上距离。</w:t>
      </w:r>
    </w:p>
    <w:p w14:paraId="053D3444">
      <w:pPr>
        <w:keepNext w:val="0"/>
        <w:keepLines w:val="0"/>
        <w:pageBreakBefore w:val="0"/>
        <w:widowControl w:val="0"/>
        <w:numPr>
          <w:ilvl w:val="0"/>
          <w:numId w:val="0"/>
        </w:numPr>
        <w:kinsoku/>
        <w:wordWrap/>
        <w:overflowPunct/>
        <w:topLinePunct w:val="0"/>
        <w:autoSpaceDE/>
        <w:autoSpaceDN/>
        <w:bidi w:val="0"/>
        <w:adjustRightInd/>
        <w:snapToGrid/>
        <w:jc w:val="left"/>
        <w:textAlignment w:val="auto"/>
        <w:rPr>
          <w:rFonts w:hint="default"/>
          <w:kern w:val="2"/>
          <w:highlight w:val="none"/>
          <w:lang w:val="en-US" w:eastAsia="zh-CN"/>
        </w:rPr>
      </w:pPr>
      <w:r>
        <w:rPr>
          <w:rFonts w:hint="default"/>
          <w:kern w:val="2"/>
          <w:highlight w:val="none"/>
          <w:lang w:val="en-US" w:eastAsia="zh-CN"/>
        </w:rPr>
        <w:drawing>
          <wp:inline distT="0" distB="0" distL="114300" distR="114300">
            <wp:extent cx="5687060" cy="1492250"/>
            <wp:effectExtent l="0" t="0" r="12700" b="1270"/>
            <wp:docPr id="24" name="图片 24" descr="1752043926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752043926014"/>
                    <pic:cNvPicPr>
                      <a:picLocks noChangeAspect="1"/>
                    </pic:cNvPicPr>
                  </pic:nvPicPr>
                  <pic:blipFill>
                    <a:blip r:embed="rId12"/>
                    <a:stretch>
                      <a:fillRect/>
                    </a:stretch>
                  </pic:blipFill>
                  <pic:spPr>
                    <a:xfrm>
                      <a:off x="0" y="0"/>
                      <a:ext cx="5687060" cy="1492250"/>
                    </a:xfrm>
                    <a:prstGeom prst="rect">
                      <a:avLst/>
                    </a:prstGeom>
                  </pic:spPr>
                </pic:pic>
              </a:graphicData>
            </a:graphic>
          </wp:inline>
        </w:drawing>
      </w:r>
    </w:p>
    <w:p w14:paraId="2D31A193">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kern w:val="2"/>
          <w:highlight w:val="none"/>
          <w:lang w:val="en-US" w:eastAsia="zh-CN"/>
        </w:rPr>
      </w:pPr>
      <w:r>
        <w:rPr>
          <w:rFonts w:hint="eastAsia"/>
          <w:kern w:val="2"/>
          <w:highlight w:val="none"/>
          <w:lang w:val="en-US" w:eastAsia="zh-CN"/>
        </w:rPr>
        <w:t>平库仓间虫卡分布图1</w:t>
      </w:r>
    </w:p>
    <w:p w14:paraId="60A8CCFA">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kern w:val="2"/>
          <w:highlight w:val="none"/>
          <w:lang w:val="en-US" w:eastAsia="zh-CN"/>
        </w:rPr>
      </w:pPr>
      <w:r>
        <w:rPr>
          <w:rFonts w:hint="default"/>
          <w:kern w:val="2"/>
          <w:highlight w:val="none"/>
          <w:lang w:val="en-US" w:eastAsia="zh-CN"/>
        </w:rPr>
        <w:drawing>
          <wp:inline distT="0" distB="0" distL="114300" distR="114300">
            <wp:extent cx="5685155" cy="2832735"/>
            <wp:effectExtent l="0" t="0" r="14605" b="1905"/>
            <wp:docPr id="25" name="图片 25" descr="1752044135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752044135545"/>
                    <pic:cNvPicPr>
                      <a:picLocks noChangeAspect="1"/>
                    </pic:cNvPicPr>
                  </pic:nvPicPr>
                  <pic:blipFill>
                    <a:blip r:embed="rId13"/>
                    <a:stretch>
                      <a:fillRect/>
                    </a:stretch>
                  </pic:blipFill>
                  <pic:spPr>
                    <a:xfrm>
                      <a:off x="0" y="0"/>
                      <a:ext cx="5685155" cy="2832735"/>
                    </a:xfrm>
                    <a:prstGeom prst="rect">
                      <a:avLst/>
                    </a:prstGeom>
                  </pic:spPr>
                </pic:pic>
              </a:graphicData>
            </a:graphic>
          </wp:inline>
        </w:drawing>
      </w:r>
    </w:p>
    <w:p w14:paraId="49C81C6A">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kern w:val="2"/>
          <w:highlight w:val="none"/>
          <w:lang w:val="en-US" w:eastAsia="zh-CN"/>
        </w:rPr>
      </w:pPr>
      <w:r>
        <w:rPr>
          <w:rFonts w:hint="eastAsia"/>
          <w:kern w:val="2"/>
          <w:highlight w:val="none"/>
          <w:lang w:val="en-US" w:eastAsia="zh-CN"/>
        </w:rPr>
        <w:t>平库仓间虫卡分布图2</w:t>
      </w:r>
    </w:p>
    <w:p w14:paraId="7ABC39DC">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kern w:val="2"/>
          <w:highlight w:val="none"/>
          <w:lang w:val="en-US" w:eastAsia="zh-CN"/>
        </w:rPr>
      </w:pPr>
      <w:r>
        <w:rPr>
          <w:rFonts w:hint="eastAsia"/>
          <w:kern w:val="2"/>
          <w:highlight w:val="none"/>
          <w:lang w:val="en-US" w:eastAsia="zh-CN"/>
        </w:rPr>
        <w:t>层高＞6m为高架仓间，按照每3000 m³（300 ㎡×10 m）立体悬挂一个烟草甲虫和烟草螟蛾性诱捕器进行区域划分，运用传送轨道立体循环虫卡进行虫情采集。</w:t>
      </w:r>
    </w:p>
    <w:p w14:paraId="4B83A4C9">
      <w:pPr>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eastAsia"/>
          <w:kern w:val="2"/>
          <w:highlight w:val="none"/>
          <w:lang w:val="en-US" w:eastAsia="zh-CN"/>
        </w:rPr>
      </w:pPr>
      <w:r>
        <w:drawing>
          <wp:inline distT="0" distB="0" distL="114300" distR="114300">
            <wp:extent cx="4411980" cy="4191000"/>
            <wp:effectExtent l="0" t="0" r="762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4411980" cy="4191000"/>
                    </a:xfrm>
                    <a:prstGeom prst="rect">
                      <a:avLst/>
                    </a:prstGeom>
                    <a:noFill/>
                    <a:ln>
                      <a:noFill/>
                    </a:ln>
                  </pic:spPr>
                </pic:pic>
              </a:graphicData>
            </a:graphic>
          </wp:inline>
        </w:drawing>
      </w:r>
    </w:p>
    <w:p w14:paraId="70C215C6">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ascii="宋体" w:hAnsi="宋体" w:eastAsia="宋体" w:cs="宋体"/>
          <w:b w:val="0"/>
          <w:bCs w:val="0"/>
          <w:color w:val="000000"/>
          <w:sz w:val="24"/>
          <w:szCs w:val="24"/>
        </w:rPr>
      </w:pPr>
      <w:r>
        <w:rPr>
          <w:rFonts w:ascii="宋体" w:hAnsi="宋体" w:eastAsia="宋体" w:cs="宋体"/>
          <w:b w:val="0"/>
          <w:bCs w:val="0"/>
          <w:color w:val="000000"/>
          <w:sz w:val="24"/>
          <w:szCs w:val="24"/>
        </w:rPr>
        <w:t>货架烟草虫情检查装置的结构示意图</w:t>
      </w:r>
    </w:p>
    <w:p w14:paraId="5CE1E640">
      <w:pPr>
        <w:pStyle w:val="2"/>
        <w:jc w:val="center"/>
      </w:pPr>
      <w:r>
        <w:drawing>
          <wp:inline distT="0" distB="0" distL="114300" distR="114300">
            <wp:extent cx="4396740" cy="2788920"/>
            <wp:effectExtent l="0" t="0" r="762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4396740" cy="2788920"/>
                    </a:xfrm>
                    <a:prstGeom prst="rect">
                      <a:avLst/>
                    </a:prstGeom>
                    <a:noFill/>
                    <a:ln>
                      <a:noFill/>
                    </a:ln>
                  </pic:spPr>
                </pic:pic>
              </a:graphicData>
            </a:graphic>
          </wp:inline>
        </w:drawing>
      </w:r>
    </w:p>
    <w:p w14:paraId="24EED08E">
      <w:pPr>
        <w:pStyle w:val="2"/>
        <w:jc w:val="center"/>
        <w:rPr>
          <w:rFonts w:hint="eastAsia"/>
          <w:lang w:val="en-US" w:eastAsia="zh-CN"/>
        </w:rPr>
      </w:pPr>
      <w:r>
        <w:rPr>
          <w:rFonts w:ascii="宋体" w:hAnsi="宋体" w:eastAsia="宋体" w:cs="宋体"/>
          <w:b w:val="0"/>
          <w:bCs w:val="0"/>
          <w:color w:val="000000"/>
          <w:sz w:val="24"/>
          <w:szCs w:val="24"/>
        </w:rPr>
        <w:t>货架烟草虫情检查装置的后视图</w:t>
      </w:r>
    </w:p>
    <w:p w14:paraId="11265717">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kern w:val="2"/>
          <w:highlight w:val="none"/>
          <w:lang w:val="en-US" w:eastAsia="zh-CN"/>
        </w:rPr>
      </w:pPr>
      <w:r>
        <w:rPr>
          <w:rFonts w:hint="eastAsia"/>
          <w:kern w:val="2"/>
          <w:highlight w:val="none"/>
          <w:lang w:val="en-US" w:eastAsia="zh-CN"/>
        </w:rPr>
        <w:t>统计诱捕头数时，各虫卡分别统计记录情况，根据不同区域不同害虫种类的监测数量确定风险等级，并采取相应处置方法。</w:t>
      </w:r>
    </w:p>
    <w:p w14:paraId="31F502EA">
      <w:pPr>
        <w:pStyle w:val="4"/>
        <w:numPr>
          <w:ilvl w:val="0"/>
          <w:numId w:val="9"/>
        </w:numPr>
        <w:bidi w:val="0"/>
        <w:ind w:firstLine="720"/>
        <w:rPr>
          <w:rFonts w:hint="default"/>
          <w:lang w:val="en-US" w:eastAsia="zh-CN"/>
        </w:rPr>
      </w:pPr>
      <w:r>
        <w:rPr>
          <w:rFonts w:hint="eastAsia"/>
          <w:lang w:val="en-US" w:eastAsia="zh-CN"/>
        </w:rPr>
        <w:t>标准条款“8 效果调查（记录与跟踪）”</w:t>
      </w:r>
    </w:p>
    <w:p w14:paraId="07AFADFC">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lang w:val="en-US" w:eastAsia="zh-CN"/>
        </w:rPr>
      </w:pPr>
      <w:r>
        <w:rPr>
          <w:rFonts w:hint="eastAsia"/>
          <w:kern w:val="2"/>
          <w:highlight w:val="none"/>
          <w:lang w:val="en-US" w:eastAsia="zh-CN"/>
        </w:rPr>
        <w:t>对采取的控制措施进行效果调查，记录害虫数量的变化情况，形成虫情数据库，以前一年虫情记录平均值作为虫情阈值，风险等级划分为高中低三级。同一区域内不同虫卡出现统计数据偏差过大时，需综合考虑排除误差影响后确定该区域风险等级。对各类控制措施效果进行评估评价及调整，持续改善措施效果。</w:t>
      </w:r>
    </w:p>
    <w:p w14:paraId="20F3D89B">
      <w:pPr>
        <w:pStyle w:val="3"/>
        <w:keepNext/>
        <w:keepLines/>
        <w:pageBreakBefore w:val="0"/>
        <w:widowControl w:val="0"/>
        <w:numPr>
          <w:ilvl w:val="0"/>
          <w:numId w:val="4"/>
        </w:numPr>
        <w:kinsoku/>
        <w:wordWrap/>
        <w:overflowPunct/>
        <w:topLinePunct w:val="0"/>
        <w:autoSpaceDE/>
        <w:autoSpaceDN/>
        <w:bidi w:val="0"/>
        <w:adjustRightInd/>
        <w:snapToGrid/>
        <w:spacing w:before="0" w:after="0" w:line="240" w:lineRule="auto"/>
        <w:ind w:firstLine="640" w:firstLineChars="200"/>
        <w:textAlignment w:val="auto"/>
        <w:rPr>
          <w:rFonts w:hint="eastAsia" w:ascii="Arial" w:hAnsi="Arial"/>
          <w:b w:val="0"/>
          <w:lang w:val="en-US" w:eastAsia="zh-CN"/>
        </w:rPr>
      </w:pPr>
      <w:r>
        <w:rPr>
          <w:rFonts w:hint="eastAsia" w:ascii="Arial" w:hAnsi="Arial"/>
          <w:b w:val="0"/>
          <w:lang w:val="en-US" w:eastAsia="zh-CN"/>
        </w:rPr>
        <w:t>重大意见分歧的处理依据和结果(必要项)</w:t>
      </w:r>
    </w:p>
    <w:p w14:paraId="0145F3CB">
      <w:pPr>
        <w:pStyle w:val="7"/>
        <w:spacing w:before="201" w:line="380" w:lineRule="auto"/>
        <w:ind w:left="12" w:right="95" w:firstLine="658"/>
        <w:rPr>
          <w:color w:val="FF0000"/>
        </w:rPr>
      </w:pPr>
      <w:r>
        <w:rPr>
          <w:color w:val="FF0000"/>
          <w:spacing w:val="-2"/>
        </w:rPr>
        <w:t>汇总说明征求意见的情况，主要包括：征求意见单位的数量,</w:t>
      </w:r>
      <w:r>
        <w:rPr>
          <w:color w:val="FF0000"/>
          <w:spacing w:val="2"/>
        </w:rPr>
        <w:t xml:space="preserve"> </w:t>
      </w:r>
      <w:r>
        <w:rPr>
          <w:color w:val="FF0000"/>
          <w:spacing w:val="10"/>
        </w:rPr>
        <w:t>累计收到反馈意见多少条，其中采纳多少，未采纳多少,是否有</w:t>
      </w:r>
      <w:r>
        <w:rPr>
          <w:color w:val="FF0000"/>
          <w:spacing w:val="15"/>
        </w:rPr>
        <w:t xml:space="preserve"> </w:t>
      </w:r>
      <w:r>
        <w:rPr>
          <w:color w:val="FF0000"/>
          <w:spacing w:val="5"/>
        </w:rPr>
        <w:t>重大分歧意见。需说明征求多少家单位的意见，这些单位的</w:t>
      </w:r>
      <w:r>
        <w:rPr>
          <w:color w:val="FF0000"/>
          <w:spacing w:val="4"/>
        </w:rPr>
        <w:t>类型</w:t>
      </w:r>
      <w:r>
        <w:rPr>
          <w:color w:val="FF0000"/>
        </w:rPr>
        <w:t xml:space="preserve"> </w:t>
      </w:r>
      <w:r>
        <w:rPr>
          <w:color w:val="FF0000"/>
          <w:spacing w:val="2"/>
        </w:rPr>
        <w:t>为（</w:t>
      </w:r>
      <w:r>
        <w:rPr>
          <w:color w:val="FF0000"/>
          <w:spacing w:val="-68"/>
        </w:rPr>
        <w:t xml:space="preserve"> </w:t>
      </w:r>
      <w:r>
        <w:rPr>
          <w:color w:val="FF0000"/>
          <w:spacing w:val="2"/>
        </w:rPr>
        <w:t>生产、销售、使用、科研、行业主管、大专院校、检测机构</w:t>
      </w:r>
      <w:r>
        <w:rPr>
          <w:color w:val="FF0000"/>
          <w:spacing w:val="13"/>
          <w:position w:val="1"/>
        </w:rPr>
        <w:t>等）</w:t>
      </w:r>
    </w:p>
    <w:p w14:paraId="20AF4C4C">
      <w:pPr>
        <w:pStyle w:val="3"/>
        <w:keepNext/>
        <w:keepLines/>
        <w:pageBreakBefore w:val="0"/>
        <w:widowControl w:val="0"/>
        <w:numPr>
          <w:ilvl w:val="0"/>
          <w:numId w:val="4"/>
        </w:numPr>
        <w:kinsoku/>
        <w:wordWrap/>
        <w:overflowPunct/>
        <w:topLinePunct w:val="0"/>
        <w:autoSpaceDE/>
        <w:autoSpaceDN/>
        <w:bidi w:val="0"/>
        <w:adjustRightInd/>
        <w:snapToGrid/>
        <w:spacing w:before="0" w:after="0" w:line="240" w:lineRule="auto"/>
        <w:ind w:firstLine="640" w:firstLineChars="200"/>
        <w:textAlignment w:val="auto"/>
        <w:rPr>
          <w:rFonts w:hint="eastAsia" w:ascii="Arial" w:hAnsi="Arial"/>
          <w:b w:val="0"/>
          <w:lang w:val="en-US" w:eastAsia="zh-CN"/>
        </w:rPr>
      </w:pPr>
      <w:r>
        <w:rPr>
          <w:rFonts w:hint="eastAsia" w:ascii="Arial" w:hAnsi="Arial"/>
          <w:b w:val="0"/>
          <w:lang w:val="en-US" w:eastAsia="zh-CN"/>
        </w:rPr>
        <w:t>作为推荐性或强制性标准的建议及其理由</w:t>
      </w:r>
    </w:p>
    <w:p w14:paraId="53E3BD44">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方正仿宋_GB2312" w:hAnsi="方正仿宋_GB2312" w:eastAsia="方正仿宋_GB2312" w:cs="方正仿宋_GB2312"/>
          <w:b w:val="0"/>
          <w:sz w:val="32"/>
          <w:szCs w:val="32"/>
          <w:lang w:val="en-US" w:eastAsia="zh-CN"/>
        </w:rPr>
      </w:pPr>
      <w:r>
        <w:rPr>
          <w:rFonts w:hint="eastAsia" w:ascii="方正仿宋_GB2312" w:hAnsi="方正仿宋_GB2312" w:eastAsia="方正仿宋_GB2312" w:cs="方正仿宋_GB2312"/>
          <w:b w:val="0"/>
          <w:sz w:val="32"/>
          <w:szCs w:val="32"/>
          <w:lang w:val="en-US" w:eastAsia="zh-CN"/>
        </w:rPr>
        <w:t>建议《打叶复烤仓储害虫综合防控技术规程》作为推荐性标准发布实施。</w:t>
      </w:r>
    </w:p>
    <w:p w14:paraId="59B4FD0B">
      <w:pPr>
        <w:pStyle w:val="3"/>
        <w:keepNext/>
        <w:keepLines/>
        <w:pageBreakBefore w:val="0"/>
        <w:widowControl w:val="0"/>
        <w:numPr>
          <w:ilvl w:val="0"/>
          <w:numId w:val="4"/>
        </w:numPr>
        <w:kinsoku/>
        <w:wordWrap/>
        <w:overflowPunct/>
        <w:topLinePunct w:val="0"/>
        <w:autoSpaceDE/>
        <w:autoSpaceDN/>
        <w:bidi w:val="0"/>
        <w:adjustRightInd/>
        <w:snapToGrid/>
        <w:spacing w:before="0" w:after="0" w:line="240" w:lineRule="auto"/>
        <w:ind w:firstLine="640" w:firstLineChars="200"/>
        <w:textAlignment w:val="auto"/>
        <w:rPr>
          <w:spacing w:val="9"/>
        </w:rPr>
      </w:pPr>
      <w:r>
        <w:rPr>
          <w:rFonts w:hint="eastAsia" w:ascii="Arial" w:hAnsi="Arial"/>
          <w:b w:val="0"/>
          <w:lang w:val="en-US" w:eastAsia="zh-CN"/>
        </w:rPr>
        <w:t>贯彻标准的措施建议</w:t>
      </w:r>
    </w:p>
    <w:p w14:paraId="71F20F88">
      <w:pPr>
        <w:keepNext w:val="0"/>
        <w:keepLines w:val="0"/>
        <w:pageBreakBefore w:val="0"/>
        <w:widowControl w:val="0"/>
        <w:kinsoku/>
        <w:wordWrap/>
        <w:overflowPunct/>
        <w:topLinePunct w:val="0"/>
        <w:autoSpaceDE/>
        <w:autoSpaceDN/>
        <w:bidi w:val="0"/>
        <w:adjustRightInd/>
        <w:snapToGrid/>
        <w:ind w:firstLine="640" w:firstLineChars="200"/>
        <w:textAlignment w:val="auto"/>
      </w:pPr>
      <w:r>
        <w:rPr>
          <w:rFonts w:hint="eastAsia" w:ascii="方正仿宋_GB2312" w:hAnsi="方正仿宋_GB2312" w:eastAsia="方正仿宋_GB2312" w:cs="方正仿宋_GB2312"/>
          <w:b w:val="0"/>
          <w:sz w:val="32"/>
          <w:szCs w:val="32"/>
          <w:lang w:val="en-US" w:eastAsia="zh-CN"/>
        </w:rPr>
        <w:t>《打叶复烤仓储害虫综合防控技术规程》地方标准发布后，可由</w:t>
      </w:r>
      <w:r>
        <w:rPr>
          <w:rFonts w:hint="eastAsia" w:ascii="方正仿宋_GB2312" w:hAnsi="方正仿宋_GB2312" w:cs="方正仿宋_GB2312"/>
          <w:b w:val="0"/>
          <w:sz w:val="32"/>
          <w:szCs w:val="32"/>
          <w:lang w:val="en-US" w:eastAsia="zh-CN"/>
        </w:rPr>
        <w:t>中国烟草总公司云南省公司</w:t>
      </w:r>
      <w:r>
        <w:rPr>
          <w:rFonts w:hint="eastAsia" w:ascii="方正仿宋_GB2312" w:hAnsi="方正仿宋_GB2312" w:eastAsia="方正仿宋_GB2312" w:cs="方正仿宋_GB2312"/>
          <w:b w:val="0"/>
          <w:sz w:val="32"/>
          <w:szCs w:val="32"/>
          <w:lang w:val="en-US" w:eastAsia="zh-CN"/>
        </w:rPr>
        <w:t>进行宣贯培训，</w:t>
      </w:r>
      <w:r>
        <w:rPr>
          <w:rFonts w:hint="eastAsia" w:ascii="方正仿宋_GB2312" w:hAnsi="方正仿宋_GB2312" w:cs="方正仿宋_GB2312"/>
          <w:b w:val="0"/>
          <w:sz w:val="32"/>
          <w:szCs w:val="32"/>
          <w:lang w:val="en-US" w:eastAsia="zh-CN"/>
        </w:rPr>
        <w:t>云南省烟草烟叶</w:t>
      </w:r>
      <w:r>
        <w:rPr>
          <w:rFonts w:hint="eastAsia" w:ascii="方正仿宋_GB2312" w:hAnsi="方正仿宋_GB2312" w:eastAsia="方正仿宋_GB2312" w:cs="方正仿宋_GB2312"/>
          <w:b w:val="0"/>
          <w:sz w:val="32"/>
          <w:szCs w:val="32"/>
          <w:lang w:val="en-US" w:eastAsia="zh-CN"/>
        </w:rPr>
        <w:t>公司负责技术指导，使</w:t>
      </w:r>
      <w:r>
        <w:rPr>
          <w:rFonts w:hint="eastAsia" w:ascii="方正仿宋_GB2312" w:hAnsi="方正仿宋_GB2312" w:cs="方正仿宋_GB2312"/>
          <w:b w:val="0"/>
          <w:sz w:val="32"/>
          <w:szCs w:val="32"/>
          <w:lang w:val="en-US" w:eastAsia="zh-CN"/>
        </w:rPr>
        <w:t>全省烟叶仓储</w:t>
      </w:r>
      <w:r>
        <w:rPr>
          <w:rFonts w:hint="eastAsia" w:ascii="方正仿宋_GB2312" w:hAnsi="方正仿宋_GB2312" w:eastAsia="方正仿宋_GB2312" w:cs="方正仿宋_GB2312"/>
          <w:b w:val="0"/>
          <w:sz w:val="32"/>
          <w:szCs w:val="32"/>
          <w:lang w:val="en-US" w:eastAsia="zh-CN"/>
        </w:rPr>
        <w:t>相关生产人员</w:t>
      </w:r>
      <w:r>
        <w:rPr>
          <w:rFonts w:hint="eastAsia" w:ascii="方正仿宋_GB2312" w:hAnsi="方正仿宋_GB2312" w:cs="方正仿宋_GB2312"/>
          <w:b w:val="0"/>
          <w:sz w:val="32"/>
          <w:szCs w:val="32"/>
          <w:lang w:val="en-US" w:eastAsia="zh-CN"/>
        </w:rPr>
        <w:t>能准确掌握仓储害虫综合防控</w:t>
      </w:r>
      <w:r>
        <w:rPr>
          <w:rFonts w:hint="eastAsia" w:ascii="方正仿宋_GB2312" w:hAnsi="方正仿宋_GB2312" w:eastAsia="方正仿宋_GB2312" w:cs="方正仿宋_GB2312"/>
          <w:b w:val="0"/>
          <w:sz w:val="32"/>
          <w:szCs w:val="32"/>
          <w:lang w:val="en-US" w:eastAsia="zh-CN"/>
        </w:rPr>
        <w:t>技术</w:t>
      </w:r>
      <w:r>
        <w:rPr>
          <w:rFonts w:hint="eastAsia" w:ascii="方正仿宋_GB2312" w:hAnsi="方正仿宋_GB2312" w:cs="方正仿宋_GB2312"/>
          <w:b w:val="0"/>
          <w:sz w:val="32"/>
          <w:szCs w:val="32"/>
          <w:lang w:val="en-US" w:eastAsia="zh-CN"/>
        </w:rPr>
        <w:t>规程</w:t>
      </w:r>
      <w:r>
        <w:rPr>
          <w:rFonts w:hint="eastAsia" w:ascii="方正仿宋_GB2312" w:hAnsi="方正仿宋_GB2312" w:eastAsia="方正仿宋_GB2312" w:cs="方正仿宋_GB2312"/>
          <w:b w:val="0"/>
          <w:sz w:val="32"/>
          <w:szCs w:val="32"/>
          <w:lang w:val="en-US" w:eastAsia="zh-CN"/>
        </w:rPr>
        <w:t>，</w:t>
      </w:r>
      <w:r>
        <w:rPr>
          <w:rFonts w:hint="eastAsia" w:ascii="方正仿宋_GB2312" w:hAnsi="方正仿宋_GB2312" w:cs="方正仿宋_GB2312"/>
          <w:b w:val="0"/>
          <w:sz w:val="32"/>
          <w:szCs w:val="32"/>
          <w:lang w:val="en-US" w:eastAsia="zh-CN"/>
        </w:rPr>
        <w:t>规范化进行仓储害虫综合防控，</w:t>
      </w:r>
      <w:r>
        <w:rPr>
          <w:rFonts w:hint="eastAsia" w:ascii="方正仿宋_GB2312" w:hAnsi="方正仿宋_GB2312" w:eastAsia="方正仿宋_GB2312" w:cs="方正仿宋_GB2312"/>
          <w:b w:val="0"/>
          <w:sz w:val="32"/>
          <w:szCs w:val="32"/>
          <w:lang w:val="en-US" w:eastAsia="zh-CN"/>
        </w:rPr>
        <w:t>保障原料安全</w:t>
      </w:r>
      <w:r>
        <w:rPr>
          <w:rFonts w:hint="eastAsia" w:ascii="方正仿宋_GB2312" w:hAnsi="方正仿宋_GB2312" w:cs="方正仿宋_GB2312"/>
          <w:b w:val="0"/>
          <w:sz w:val="32"/>
          <w:szCs w:val="32"/>
          <w:lang w:val="en-US" w:eastAsia="zh-CN"/>
        </w:rPr>
        <w:t>。</w:t>
      </w:r>
    </w:p>
    <w:p w14:paraId="1C76B10A">
      <w:pPr>
        <w:pStyle w:val="3"/>
        <w:keepNext/>
        <w:keepLines/>
        <w:pageBreakBefore w:val="0"/>
        <w:widowControl w:val="0"/>
        <w:numPr>
          <w:ilvl w:val="0"/>
          <w:numId w:val="4"/>
        </w:numPr>
        <w:kinsoku/>
        <w:wordWrap/>
        <w:overflowPunct/>
        <w:topLinePunct w:val="0"/>
        <w:autoSpaceDE/>
        <w:autoSpaceDN/>
        <w:bidi w:val="0"/>
        <w:adjustRightInd/>
        <w:snapToGrid/>
        <w:spacing w:before="0" w:after="0" w:line="240" w:lineRule="auto"/>
        <w:ind w:firstLine="640" w:firstLineChars="200"/>
        <w:textAlignment w:val="auto"/>
        <w:rPr>
          <w:rFonts w:hint="eastAsia" w:ascii="Arial" w:hAnsi="Arial"/>
          <w:b w:val="0"/>
          <w:lang w:val="en-US" w:eastAsia="zh-CN"/>
        </w:rPr>
      </w:pPr>
      <w:r>
        <w:rPr>
          <w:rFonts w:hint="eastAsia" w:ascii="Arial" w:hAnsi="Arial"/>
          <w:b w:val="0"/>
          <w:lang w:val="en-US" w:eastAsia="zh-CN"/>
        </w:rPr>
        <w:t>预期效益分析</w:t>
      </w:r>
    </w:p>
    <w:p w14:paraId="1AD03C4E">
      <w:pPr>
        <w:pStyle w:val="4"/>
        <w:numPr>
          <w:ilvl w:val="0"/>
          <w:numId w:val="10"/>
        </w:numPr>
        <w:bidi w:val="0"/>
        <w:ind w:firstLine="720"/>
        <w:rPr>
          <w:rFonts w:hint="eastAsia"/>
          <w:lang w:val="en-US" w:eastAsia="zh-CN"/>
        </w:rPr>
      </w:pPr>
      <w:r>
        <w:rPr>
          <w:rFonts w:hint="eastAsia"/>
          <w:lang w:val="en-US" w:eastAsia="zh-CN"/>
        </w:rPr>
        <w:t>经济效益：</w:t>
      </w:r>
    </w:p>
    <w:p w14:paraId="7EBFFAED">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方正仿宋_GB2312" w:hAnsi="方正仿宋_GB2312" w:eastAsia="方正仿宋_GB2312" w:cs="方正仿宋_GB2312"/>
          <w:b w:val="0"/>
          <w:sz w:val="32"/>
          <w:szCs w:val="32"/>
          <w:lang w:val="en-US" w:eastAsia="zh-CN"/>
        </w:rPr>
      </w:pPr>
      <w:r>
        <w:rPr>
          <w:rFonts w:hint="eastAsia" w:ascii="方正仿宋_GB2312" w:hAnsi="方正仿宋_GB2312" w:eastAsia="方正仿宋_GB2312" w:cs="方正仿宋_GB2312"/>
          <w:b w:val="0"/>
          <w:sz w:val="32"/>
          <w:szCs w:val="32"/>
          <w:lang w:val="en-US" w:eastAsia="zh-CN"/>
        </w:rPr>
        <w:t>标准发布后，云南复烤加工企业的仓储害虫将实现有效防控，有效减少害虫对烟叶的危害，进一步提升对卷烟工业企业的原料保障，提升云南烟草的经济效益，推动行业高质量发展。</w:t>
      </w:r>
    </w:p>
    <w:p w14:paraId="1F42A37F">
      <w:pPr>
        <w:pStyle w:val="4"/>
        <w:numPr>
          <w:ilvl w:val="0"/>
          <w:numId w:val="10"/>
        </w:numPr>
        <w:bidi w:val="0"/>
        <w:ind w:firstLine="720"/>
        <w:rPr>
          <w:rFonts w:hint="eastAsia"/>
          <w:lang w:val="en-US" w:eastAsia="zh-CN"/>
        </w:rPr>
      </w:pPr>
      <w:r>
        <w:rPr>
          <w:rFonts w:hint="eastAsia"/>
          <w:lang w:val="en-US" w:eastAsia="zh-CN"/>
        </w:rPr>
        <w:t>社会效益：</w:t>
      </w:r>
    </w:p>
    <w:p w14:paraId="6C0E279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方正仿宋_GB2312" w:hAnsi="方正仿宋_GB2312" w:eastAsia="方正仿宋_GB2312" w:cs="方正仿宋_GB2312"/>
          <w:b w:val="0"/>
          <w:sz w:val="32"/>
          <w:szCs w:val="32"/>
          <w:lang w:val="en-US" w:eastAsia="zh-CN"/>
        </w:rPr>
      </w:pPr>
      <w:r>
        <w:rPr>
          <w:rFonts w:hint="eastAsia" w:ascii="方正仿宋_GB2312" w:hAnsi="方正仿宋_GB2312" w:eastAsia="方正仿宋_GB2312" w:cs="方正仿宋_GB2312"/>
          <w:b w:val="0"/>
          <w:sz w:val="32"/>
          <w:szCs w:val="32"/>
          <w:lang w:val="en-US" w:eastAsia="zh-CN"/>
        </w:rPr>
        <w:t>标准发布后，将提供更加安全、环保、系统的仓储害虫综合防控 技术，对于企业提升核心竞争力、增强发展新动能、构筑发展新优势、把握发展主动权起到推动作用，对于促进烟草行业的转型升级提供技术支撑。</w:t>
      </w:r>
    </w:p>
    <w:p w14:paraId="5678CA1F">
      <w:pPr>
        <w:ind w:firstLine="640" w:firstLineChars="200"/>
        <w:jc w:val="right"/>
        <w:rPr>
          <w:rFonts w:hint="eastAsia" w:ascii="仿宋_GB2312" w:hAnsi="黑体" w:eastAsia="仿宋_GB2312"/>
          <w:sz w:val="32"/>
          <w:szCs w:val="32"/>
        </w:rPr>
      </w:pPr>
    </w:p>
    <w:p w14:paraId="1F2B79F4">
      <w:pPr>
        <w:ind w:firstLine="640" w:firstLineChars="200"/>
        <w:jc w:val="right"/>
        <w:rPr>
          <w:rFonts w:hint="eastAsia" w:ascii="仿宋_GB2312" w:hAnsi="黑体" w:eastAsia="仿宋_GB2312"/>
          <w:sz w:val="32"/>
          <w:szCs w:val="32"/>
        </w:rPr>
      </w:pPr>
    </w:p>
    <w:p w14:paraId="09FB05FB">
      <w:pPr>
        <w:ind w:firstLine="640" w:firstLineChars="200"/>
        <w:jc w:val="right"/>
        <w:rPr>
          <w:rFonts w:hint="eastAsia" w:ascii="仿宋_GB2312" w:hAnsi="黑体" w:eastAsia="仿宋_GB2312"/>
          <w:sz w:val="32"/>
          <w:szCs w:val="32"/>
        </w:rPr>
      </w:pPr>
    </w:p>
    <w:p w14:paraId="4C7A6F67">
      <w:pPr>
        <w:ind w:firstLine="640" w:firstLineChars="200"/>
        <w:jc w:val="right"/>
        <w:rPr>
          <w:rFonts w:hint="eastAsia" w:ascii="仿宋_GB2312" w:hAnsi="黑体" w:eastAsia="仿宋_GB2312"/>
          <w:sz w:val="32"/>
          <w:szCs w:val="32"/>
        </w:rPr>
      </w:pPr>
      <w:r>
        <w:rPr>
          <w:rFonts w:hint="eastAsia" w:ascii="仿宋_GB2312" w:hAnsi="黑体" w:eastAsia="仿宋_GB2312"/>
          <w:sz w:val="32"/>
          <w:szCs w:val="32"/>
        </w:rPr>
        <w:t>《</w:t>
      </w:r>
      <w:r>
        <w:rPr>
          <w:rFonts w:hint="eastAsia" w:ascii="仿宋_GB2312" w:hAnsi="黑体" w:eastAsia="仿宋_GB2312"/>
          <w:sz w:val="32"/>
          <w:szCs w:val="32"/>
          <w:lang w:val="en-US" w:eastAsia="zh-CN"/>
        </w:rPr>
        <w:t>打叶复烤仓储害虫综合防控技术规程</w:t>
      </w:r>
      <w:r>
        <w:rPr>
          <w:rFonts w:hint="eastAsia" w:ascii="仿宋_GB2312" w:hAnsi="黑体" w:eastAsia="仿宋_GB2312"/>
          <w:sz w:val="32"/>
          <w:szCs w:val="32"/>
        </w:rPr>
        <w:t>》标准起草小组</w:t>
      </w:r>
    </w:p>
    <w:p w14:paraId="3638244F">
      <w:pPr>
        <w:ind w:firstLine="5440" w:firstLineChars="1700"/>
        <w:jc w:val="both"/>
        <w:rPr>
          <w:rFonts w:hint="eastAsia" w:ascii="微软雅黑" w:hAnsi="微软雅黑" w:eastAsia="微软雅黑" w:cs="微软雅黑"/>
          <w:sz w:val="36"/>
          <w:szCs w:val="36"/>
          <w:lang w:val="en-US" w:eastAsia="zh-CN"/>
        </w:rPr>
      </w:pPr>
      <w:r>
        <w:rPr>
          <w:rFonts w:hint="eastAsia" w:ascii="仿宋_GB2312" w:hAnsi="黑体" w:eastAsia="仿宋_GB2312"/>
          <w:sz w:val="32"/>
          <w:szCs w:val="32"/>
        </w:rPr>
        <w:t>202</w:t>
      </w:r>
      <w:r>
        <w:rPr>
          <w:rFonts w:hint="eastAsia" w:ascii="仿宋_GB2312" w:hAnsi="黑体" w:eastAsia="仿宋_GB2312"/>
          <w:sz w:val="32"/>
          <w:szCs w:val="32"/>
          <w:lang w:val="en-US" w:eastAsia="zh-CN"/>
        </w:rPr>
        <w:t>5</w:t>
      </w:r>
      <w:r>
        <w:rPr>
          <w:rFonts w:hint="eastAsia" w:ascii="仿宋_GB2312" w:hAnsi="黑体" w:eastAsia="仿宋_GB2312"/>
          <w:sz w:val="32"/>
          <w:szCs w:val="32"/>
        </w:rPr>
        <w:t>年</w:t>
      </w:r>
      <w:r>
        <w:rPr>
          <w:rFonts w:hint="eastAsia" w:ascii="仿宋_GB2312" w:hAnsi="黑体" w:eastAsia="仿宋_GB2312"/>
          <w:sz w:val="32"/>
          <w:szCs w:val="32"/>
          <w:lang w:val="en-US" w:eastAsia="zh-CN"/>
        </w:rPr>
        <w:t>7</w:t>
      </w:r>
      <w:r>
        <w:rPr>
          <w:rFonts w:hint="eastAsia" w:ascii="仿宋_GB2312" w:hAnsi="黑体" w:eastAsia="仿宋_GB2312"/>
          <w:sz w:val="32"/>
          <w:szCs w:val="32"/>
        </w:rPr>
        <w:t>月</w:t>
      </w:r>
      <w:r>
        <w:rPr>
          <w:rFonts w:hint="eastAsia" w:ascii="仿宋_GB2312" w:hAnsi="黑体" w:eastAsia="仿宋_GB2312"/>
          <w:sz w:val="32"/>
          <w:szCs w:val="32"/>
          <w:lang w:val="en-US" w:eastAsia="zh-CN"/>
        </w:rPr>
        <w:t>9</w:t>
      </w:r>
      <w:r>
        <w:rPr>
          <w:rFonts w:hint="eastAsia" w:ascii="仿宋_GB2312" w:hAnsi="黑体" w:eastAsia="仿宋_GB2312"/>
          <w:sz w:val="32"/>
          <w:szCs w:val="32"/>
        </w:rPr>
        <w:t>日</w:t>
      </w:r>
    </w:p>
    <w:sectPr>
      <w:footerReference r:id="rId3" w:type="default"/>
      <w:pgSz w:w="11906" w:h="16838"/>
      <w:pgMar w:top="1417" w:right="1361" w:bottom="1417" w:left="1587"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035223FC-EE88-49A3-8DCC-F161EBB69020}"/>
  </w:font>
  <w:font w:name="黑体">
    <w:panose1 w:val="02010609060101010101"/>
    <w:charset w:val="86"/>
    <w:family w:val="auto"/>
    <w:pitch w:val="default"/>
    <w:sig w:usb0="800002BF" w:usb1="38CF7CFA" w:usb2="00000016" w:usb3="00000000" w:csb0="00040001" w:csb1="00000000"/>
    <w:embedRegular r:id="rId2" w:fontKey="{9D88DC18-69C2-47AE-A326-11774E98EC0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仿宋_GB2312">
    <w:panose1 w:val="02000000000000000000"/>
    <w:charset w:val="86"/>
    <w:family w:val="auto"/>
    <w:pitch w:val="default"/>
    <w:sig w:usb0="A00002BF" w:usb1="184F6CFA" w:usb2="00000012" w:usb3="00000000" w:csb0="00040001" w:csb1="00000000"/>
    <w:embedRegular r:id="rId3" w:fontKey="{5F9B02C2-77A6-42B4-A673-CEECECC90EC3}"/>
  </w:font>
  <w:font w:name="方正楷体_GB2312">
    <w:panose1 w:val="02000000000000000000"/>
    <w:charset w:val="86"/>
    <w:family w:val="auto"/>
    <w:pitch w:val="default"/>
    <w:sig w:usb0="A00002BF" w:usb1="184F6CFA" w:usb2="00000012" w:usb3="00000000" w:csb0="00040001" w:csb1="00000000"/>
    <w:embedRegular r:id="rId4" w:fontKey="{F5B5199D-7A03-445C-89E3-3A5ABDA32B57}"/>
  </w:font>
  <w:font w:name="仿宋">
    <w:panose1 w:val="02010609060101010101"/>
    <w:charset w:val="86"/>
    <w:family w:val="auto"/>
    <w:pitch w:val="default"/>
    <w:sig w:usb0="800002BF" w:usb1="38CF7CFA" w:usb2="00000016" w:usb3="00000000" w:csb0="00040001" w:csb1="00000000"/>
    <w:embedRegular r:id="rId5" w:fontKey="{BC842C1B-5081-446F-9498-92DB7685521B}"/>
  </w:font>
  <w:font w:name="微软雅黑">
    <w:panose1 w:val="020B0503020204020204"/>
    <w:charset w:val="86"/>
    <w:family w:val="auto"/>
    <w:pitch w:val="default"/>
    <w:sig w:usb0="80000287" w:usb1="2ACF3C50" w:usb2="00000016" w:usb3="00000000" w:csb0="0004001F" w:csb1="00000000"/>
    <w:embedRegular r:id="rId6" w:fontKey="{F6B6E5A4-381A-4A88-A710-782CE6A21E27}"/>
  </w:font>
  <w:font w:name="仿宋_GB2312">
    <w:panose1 w:val="02010609030101010101"/>
    <w:charset w:val="86"/>
    <w:family w:val="modern"/>
    <w:pitch w:val="default"/>
    <w:sig w:usb0="00000001" w:usb1="080E0000" w:usb2="00000000" w:usb3="00000000" w:csb0="00040000" w:csb1="00000000"/>
    <w:embedRegular r:id="rId7" w:fontKey="{ED73A3EE-EDC9-49B0-A858-8DEF4A25461C}"/>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8C846">
    <w:pPr>
      <w:spacing w:line="235" w:lineRule="exact"/>
      <w:ind w:left="8746"/>
      <w:rPr>
        <w:rFonts w:ascii="Times New Roman" w:hAnsi="Times New Roman" w:eastAsia="Times New Roman" w:cs="Times New Roman"/>
        <w:sz w:val="18"/>
        <w:szCs w:val="18"/>
      </w:rPr>
    </w:pPr>
    <w:r>
      <w:rPr>
        <w:rFonts w:ascii="Times New Roman" w:hAnsi="Times New Roman" w:eastAsia="Times New Roman" w:cs="Times New Roman"/>
        <w:position w:val="1"/>
        <w:sz w:val="18"/>
        <w:szCs w:val="18"/>
      </w:rPr>
      <w:t>2</w: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F33887"/>
    <w:multiLevelType w:val="multilevel"/>
    <w:tmpl w:val="93F33887"/>
    <w:lvl w:ilvl="0" w:tentative="0">
      <w:start w:val="1"/>
      <w:numFmt w:val="decimal"/>
      <w:pStyle w:val="22"/>
      <w:suff w:val="nothing"/>
      <w:lvlText w:val="表%1  "/>
      <w:lvlJc w:val="left"/>
      <w:pPr>
        <w:tabs>
          <w:tab w:val="left" w:pos="539"/>
        </w:tabs>
        <w:ind w:left="0" w:leftChars="0" w:firstLine="0" w:firstLineChars="0"/>
      </w:pPr>
      <w:rPr>
        <w:rFonts w:hint="eastAsia" w:ascii="黑体" w:hAnsi="黑体" w:eastAsia="黑体" w:cs="黑体"/>
        <w:sz w:val="21"/>
        <w:vertAlign w:val="baseline"/>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1">
    <w:nsid w:val="96582C4C"/>
    <w:multiLevelType w:val="singleLevel"/>
    <w:tmpl w:val="96582C4C"/>
    <w:lvl w:ilvl="0" w:tentative="0">
      <w:start w:val="1"/>
      <w:numFmt w:val="chineseCounting"/>
      <w:suff w:val="nothing"/>
      <w:lvlText w:val="（%1）"/>
      <w:lvlJc w:val="left"/>
      <w:rPr>
        <w:rFonts w:hint="eastAsia"/>
      </w:rPr>
    </w:lvl>
  </w:abstractNum>
  <w:abstractNum w:abstractNumId="2">
    <w:nsid w:val="AB208E88"/>
    <w:multiLevelType w:val="multilevel"/>
    <w:tmpl w:val="AB208E88"/>
    <w:lvl w:ilvl="0" w:tentative="0">
      <w:start w:val="1"/>
      <w:numFmt w:val="decimal"/>
      <w:pStyle w:val="17"/>
      <w:suff w:val="nothing"/>
      <w:lvlText w:val="%1　"/>
      <w:lvlJc w:val="left"/>
      <w:pPr>
        <w:ind w:left="0" w:leftChars="0" w:firstLine="0" w:firstLineChars="0"/>
      </w:pPr>
      <w:rPr>
        <w:rFonts w:hint="default" w:ascii="黑体" w:hAnsi="黑体" w:eastAsia="黑体" w:cs="黑体"/>
        <w:sz w:val="20"/>
      </w:rPr>
    </w:lvl>
    <w:lvl w:ilvl="1" w:tentative="0">
      <w:start w:val="1"/>
      <w:numFmt w:val="decimal"/>
      <w:pStyle w:val="18"/>
      <w:suff w:val="nothing"/>
      <w:lvlText w:val="%1.%2　"/>
      <w:lvlJc w:val="left"/>
      <w:pPr>
        <w:ind w:left="0" w:leftChars="0" w:firstLine="0" w:firstLineChars="0"/>
      </w:pPr>
      <w:rPr>
        <w:rFonts w:hint="default" w:ascii="黑体" w:hAnsi="黑体" w:eastAsia="黑体" w:cs="黑体"/>
        <w:color w:val="auto"/>
        <w:sz w:val="20"/>
      </w:rPr>
    </w:lvl>
    <w:lvl w:ilvl="2" w:tentative="0">
      <w:start w:val="1"/>
      <w:numFmt w:val="decimal"/>
      <w:pStyle w:val="19"/>
      <w:suff w:val="nothing"/>
      <w:lvlText w:val="%1.%2.%3　"/>
      <w:lvlJc w:val="left"/>
      <w:pPr>
        <w:ind w:left="0" w:leftChars="0" w:firstLine="0" w:firstLineChars="0"/>
      </w:pPr>
      <w:rPr>
        <w:rFonts w:hint="default" w:ascii="黑体" w:hAnsi="黑体" w:eastAsia="黑体" w:cs="黑体"/>
        <w:sz w:val="20"/>
      </w:rPr>
    </w:lvl>
    <w:lvl w:ilvl="3" w:tentative="0">
      <w:start w:val="1"/>
      <w:numFmt w:val="decimal"/>
      <w:pStyle w:val="21"/>
      <w:suff w:val="nothing"/>
      <w:lvlText w:val="%1.%2.%3.%4　"/>
      <w:lvlJc w:val="left"/>
      <w:pPr>
        <w:ind w:left="0" w:leftChars="0" w:firstLine="0" w:firstLineChars="0"/>
      </w:pPr>
      <w:rPr>
        <w:rFonts w:hint="default" w:ascii="黑体" w:hAnsi="黑体" w:eastAsia="黑体" w:cs="黑体"/>
        <w:color w:val="auto"/>
        <w:sz w:val="20"/>
      </w:rPr>
    </w:lvl>
    <w:lvl w:ilvl="4" w:tentative="0">
      <w:start w:val="1"/>
      <w:numFmt w:val="decimal"/>
      <w:pStyle w:val="25"/>
      <w:suff w:val="nothing"/>
      <w:lvlText w:val="%1.%2.%3.%4.%5　"/>
      <w:lvlJc w:val="left"/>
      <w:pPr>
        <w:ind w:left="0" w:leftChars="0" w:firstLine="0" w:firstLineChars="0"/>
      </w:pPr>
      <w:rPr>
        <w:rFonts w:hint="default" w:ascii="黑体" w:hAnsi="黑体" w:eastAsia="黑体" w:cs="黑体"/>
        <w:sz w:val="20"/>
      </w:rPr>
    </w:lvl>
    <w:lvl w:ilvl="5" w:tentative="0">
      <w:start w:val="1"/>
      <w:numFmt w:val="decimal"/>
      <w:suff w:val="nothing"/>
      <w:lvlText w:val="%1.%2.%3.%4.%5.%6　"/>
      <w:lvlJc w:val="left"/>
      <w:pPr>
        <w:ind w:left="0" w:leftChars="0" w:firstLine="0" w:firstLineChars="0"/>
      </w:pPr>
      <w:rPr>
        <w:rFonts w:hint="default" w:ascii="黑体" w:hAnsi="黑体" w:eastAsia="黑体" w:cs="黑体"/>
        <w:sz w:val="20"/>
      </w:rPr>
    </w:lvl>
    <w:lvl w:ilvl="6" w:tentative="0">
      <w:start w:val="1"/>
      <w:numFmt w:val="lowerLetter"/>
      <w:suff w:val="nothing"/>
      <w:lvlText w:val="%7）"/>
      <w:lvlJc w:val="left"/>
      <w:pPr>
        <w:ind w:left="0" w:firstLine="402"/>
      </w:pPr>
      <w:rPr>
        <w:rFonts w:hint="eastAsia"/>
      </w:rPr>
    </w:lvl>
    <w:lvl w:ilvl="7" w:tentative="0">
      <w:start w:val="1"/>
      <w:numFmt w:val="lowerRoman"/>
      <w:suff w:val="nothing"/>
      <w:lvlText w:val="%8. "/>
      <w:lvlJc w:val="left"/>
      <w:pPr>
        <w:ind w:left="0" w:firstLine="402"/>
      </w:pPr>
      <w:rPr>
        <w:rFonts w:hint="eastAsia"/>
      </w:rPr>
    </w:lvl>
    <w:lvl w:ilvl="8" w:tentative="0">
      <w:start w:val="1"/>
      <w:numFmt w:val="lowerRoman"/>
      <w:suff w:val="nothing"/>
      <w:lvlText w:val="%9）"/>
      <w:lvlJc w:val="left"/>
      <w:pPr>
        <w:ind w:left="0" w:firstLine="402"/>
      </w:pPr>
      <w:rPr>
        <w:rFonts w:hint="eastAsia"/>
      </w:rPr>
    </w:lvl>
  </w:abstractNum>
  <w:abstractNum w:abstractNumId="3">
    <w:nsid w:val="ACB45DBE"/>
    <w:multiLevelType w:val="singleLevel"/>
    <w:tmpl w:val="ACB45DBE"/>
    <w:lvl w:ilvl="0" w:tentative="0">
      <w:start w:val="1"/>
      <w:numFmt w:val="chineseCounting"/>
      <w:suff w:val="nothing"/>
      <w:lvlText w:val="%1、"/>
      <w:lvlJc w:val="left"/>
      <w:rPr>
        <w:rFonts w:hint="eastAsia"/>
      </w:rPr>
    </w:lvl>
  </w:abstractNum>
  <w:abstractNum w:abstractNumId="4">
    <w:nsid w:val="E7AB5F00"/>
    <w:multiLevelType w:val="singleLevel"/>
    <w:tmpl w:val="E7AB5F00"/>
    <w:lvl w:ilvl="0" w:tentative="0">
      <w:start w:val="1"/>
      <w:numFmt w:val="chineseCounting"/>
      <w:suff w:val="nothing"/>
      <w:lvlText w:val="（%1）"/>
      <w:lvlJc w:val="left"/>
      <w:rPr>
        <w:rFonts w:hint="eastAsia"/>
      </w:rPr>
    </w:lvl>
  </w:abstractNum>
  <w:abstractNum w:abstractNumId="5">
    <w:nsid w:val="FC9B3D5F"/>
    <w:multiLevelType w:val="singleLevel"/>
    <w:tmpl w:val="FC9B3D5F"/>
    <w:lvl w:ilvl="0" w:tentative="0">
      <w:start w:val="1"/>
      <w:numFmt w:val="chineseCounting"/>
      <w:suff w:val="nothing"/>
      <w:lvlText w:val="（%1）"/>
      <w:lvlJc w:val="left"/>
      <w:rPr>
        <w:rFonts w:hint="eastAsia"/>
      </w:rPr>
    </w:lvl>
  </w:abstractNum>
  <w:abstractNum w:abstractNumId="6">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pStyle w:val="23"/>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4795E61E"/>
    <w:multiLevelType w:val="singleLevel"/>
    <w:tmpl w:val="4795E61E"/>
    <w:lvl w:ilvl="0" w:tentative="0">
      <w:start w:val="1"/>
      <w:numFmt w:val="chineseCounting"/>
      <w:suff w:val="nothing"/>
      <w:lvlText w:val="（%1）"/>
      <w:lvlJc w:val="left"/>
      <w:rPr>
        <w:rFonts w:hint="eastAsia"/>
      </w:rPr>
    </w:lvl>
  </w:abstractNum>
  <w:abstractNum w:abstractNumId="8">
    <w:nsid w:val="581FB091"/>
    <w:multiLevelType w:val="singleLevel"/>
    <w:tmpl w:val="581FB091"/>
    <w:lvl w:ilvl="0" w:tentative="0">
      <w:start w:val="1"/>
      <w:numFmt w:val="chineseCounting"/>
      <w:suff w:val="nothing"/>
      <w:lvlText w:val="（%1）"/>
      <w:lvlJc w:val="left"/>
      <w:rPr>
        <w:rFonts w:hint="eastAsia"/>
      </w:rPr>
    </w:lvl>
  </w:abstractNum>
  <w:abstractNum w:abstractNumId="9">
    <w:nsid w:val="782CA394"/>
    <w:multiLevelType w:val="singleLevel"/>
    <w:tmpl w:val="782CA394"/>
    <w:lvl w:ilvl="0" w:tentative="0">
      <w:start w:val="1"/>
      <w:numFmt w:val="chineseCounting"/>
      <w:suff w:val="nothing"/>
      <w:lvlText w:val="（%1）"/>
      <w:lvlJc w:val="left"/>
      <w:rPr>
        <w:rFonts w:hint="eastAsia"/>
      </w:rPr>
    </w:lvl>
  </w:abstractNum>
  <w:num w:numId="1">
    <w:abstractNumId w:val="2"/>
  </w:num>
  <w:num w:numId="2">
    <w:abstractNumId w:val="0"/>
  </w:num>
  <w:num w:numId="3">
    <w:abstractNumId w:val="6"/>
  </w:num>
  <w:num w:numId="4">
    <w:abstractNumId w:val="3"/>
  </w:num>
  <w:num w:numId="5">
    <w:abstractNumId w:val="4"/>
  </w:num>
  <w:num w:numId="6">
    <w:abstractNumId w:val="5"/>
  </w:num>
  <w:num w:numId="7">
    <w:abstractNumId w:val="7"/>
  </w:num>
  <w:num w:numId="8">
    <w:abstractNumId w:val="1"/>
  </w:num>
  <w:num w:numId="9">
    <w:abstractNumId w:val="8"/>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YwNmI2NTAzMzg2MzM4NzVjYTc3YzY2MTkxNDM2YjEifQ=="/>
  </w:docVars>
  <w:rsids>
    <w:rsidRoot w:val="3A2D462E"/>
    <w:rsid w:val="14696584"/>
    <w:rsid w:val="21433A41"/>
    <w:rsid w:val="3A2D462E"/>
    <w:rsid w:val="6A252F6F"/>
    <w:rsid w:val="6B7F0D70"/>
    <w:rsid w:val="75D12D7C"/>
    <w:rsid w:val="7A8F7CA1"/>
    <w:rsid w:val="7BC10D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eastAsia="方正仿宋_GB2312" w:asciiTheme="minorAscii" w:hAnsiTheme="minorAscii" w:cstheme="minorBidi"/>
      <w:kern w:val="2"/>
      <w:sz w:val="32"/>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sz w:val="32"/>
    </w:rPr>
  </w:style>
  <w:style w:type="paragraph" w:styleId="4">
    <w:name w:val="heading 3"/>
    <w:basedOn w:val="1"/>
    <w:next w:val="1"/>
    <w:unhideWhenUsed/>
    <w:qFormat/>
    <w:uiPriority w:val="0"/>
    <w:pPr>
      <w:keepNext/>
      <w:keepLines/>
      <w:spacing w:beforeLines="0" w:beforeAutospacing="0" w:afterLines="0" w:afterAutospacing="0" w:line="240" w:lineRule="auto"/>
      <w:ind w:firstLine="720" w:firstLineChars="200"/>
      <w:outlineLvl w:val="2"/>
    </w:pPr>
    <w:rPr>
      <w:rFonts w:eastAsia="方正楷体_GB2312"/>
    </w:rPr>
  </w:style>
  <w:style w:type="paragraph" w:styleId="5">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6">
    <w:name w:val="annotation text"/>
    <w:basedOn w:val="1"/>
    <w:qFormat/>
    <w:uiPriority w:val="0"/>
    <w:pPr>
      <w:jc w:val="left"/>
    </w:pPr>
  </w:style>
  <w:style w:type="paragraph" w:styleId="7">
    <w:name w:val="Body Text"/>
    <w:basedOn w:val="1"/>
    <w:semiHidden/>
    <w:qFormat/>
    <w:uiPriority w:val="0"/>
    <w:rPr>
      <w:rFonts w:ascii="仿宋" w:hAnsi="仿宋" w:eastAsia="仿宋" w:cs="仿宋"/>
      <w:sz w:val="31"/>
      <w:szCs w:val="31"/>
      <w:lang w:val="en-US" w:eastAsia="en-US" w:bidi="ar-SA"/>
    </w:rPr>
  </w:style>
  <w:style w:type="paragraph" w:styleId="8">
    <w:name w:val="Normal (Web)"/>
    <w:basedOn w:val="1"/>
    <w:qFormat/>
    <w:uiPriority w:val="0"/>
    <w:pPr>
      <w:spacing w:before="0" w:beforeAutospacing="1" w:after="0" w:afterAutospacing="1"/>
      <w:ind w:left="0" w:right="0"/>
      <w:jc w:val="left"/>
    </w:pPr>
    <w:rPr>
      <w:kern w:val="0"/>
      <w:sz w:val="24"/>
      <w:lang w:val="en-US" w:eastAsia="zh-CN" w:bidi="ar"/>
    </w:rPr>
  </w:style>
  <w:style w:type="character" w:styleId="11">
    <w:name w:val="Strong"/>
    <w:basedOn w:val="10"/>
    <w:qFormat/>
    <w:uiPriority w:val="0"/>
    <w:rPr>
      <w:b/>
    </w:rPr>
  </w:style>
  <w:style w:type="character" w:styleId="12">
    <w:name w:val="Emphasis"/>
    <w:basedOn w:val="10"/>
    <w:qFormat/>
    <w:uiPriority w:val="0"/>
    <w:rPr>
      <w:i/>
    </w:rPr>
  </w:style>
  <w:style w:type="paragraph" w:customStyle="1" w:styleId="13">
    <w:name w:val="Table Text"/>
    <w:basedOn w:val="1"/>
    <w:semiHidden/>
    <w:qFormat/>
    <w:uiPriority w:val="0"/>
    <w:rPr>
      <w:rFonts w:ascii="仿宋" w:hAnsi="仿宋" w:eastAsia="仿宋" w:cs="仿宋"/>
      <w:sz w:val="24"/>
      <w:szCs w:val="24"/>
      <w:lang w:val="en-US" w:eastAsia="en-US" w:bidi="ar-SA"/>
    </w:rPr>
  </w:style>
  <w:style w:type="table" w:customStyle="1" w:styleId="14">
    <w:name w:val="Table Normal"/>
    <w:semiHidden/>
    <w:unhideWhenUsed/>
    <w:qFormat/>
    <w:uiPriority w:val="0"/>
    <w:tblPr>
      <w:tblCellMar>
        <w:top w:w="0" w:type="dxa"/>
        <w:left w:w="0" w:type="dxa"/>
        <w:bottom w:w="0" w:type="dxa"/>
        <w:right w:w="0" w:type="dxa"/>
      </w:tblCellMar>
    </w:tblPr>
  </w:style>
  <w:style w:type="paragraph" w:customStyle="1" w:styleId="15">
    <w:name w:val="段"/>
    <w:qFormat/>
    <w:uiPriority w:val="99"/>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6">
    <w:name w:val="标准文件_段"/>
    <w:qFormat/>
    <w:uiPriority w:val="0"/>
    <w:pPr>
      <w:spacing w:beforeLines="0" w:afterLines="0"/>
      <w:ind w:firstLine="960" w:firstLineChars="200"/>
      <w:jc w:val="both"/>
    </w:pPr>
    <w:rPr>
      <w:rFonts w:hint="eastAsia" w:ascii="宋体" w:hAnsi="Times New Roman" w:eastAsia="宋体" w:cs="宋体"/>
      <w:sz w:val="21"/>
    </w:rPr>
  </w:style>
  <w:style w:type="paragraph" w:customStyle="1" w:styleId="17">
    <w:name w:val="标准文件_章标题"/>
    <w:next w:val="16"/>
    <w:qFormat/>
    <w:uiPriority w:val="0"/>
    <w:pPr>
      <w:numPr>
        <w:ilvl w:val="0"/>
        <w:numId w:val="1"/>
      </w:numPr>
      <w:suppressAutoHyphens w:val="0"/>
      <w:spacing w:before="313" w:beforeLines="100" w:after="313" w:afterLines="100"/>
      <w:jc w:val="both"/>
      <w:outlineLvl w:val="0"/>
    </w:pPr>
    <w:rPr>
      <w:rFonts w:hint="eastAsia" w:ascii="黑体" w:hAnsi="Times New Roman" w:eastAsia="黑体" w:cs="黑体"/>
      <w:sz w:val="21"/>
    </w:rPr>
  </w:style>
  <w:style w:type="paragraph" w:customStyle="1" w:styleId="18">
    <w:name w:val="标准文件_一级条标题"/>
    <w:basedOn w:val="17"/>
    <w:next w:val="16"/>
    <w:qFormat/>
    <w:uiPriority w:val="0"/>
    <w:pPr>
      <w:numPr>
        <w:ilvl w:val="1"/>
      </w:numPr>
      <w:spacing w:before="157" w:beforeLines="50" w:after="157" w:afterLines="50"/>
      <w:ind w:firstLine="0"/>
      <w:outlineLvl w:val="1"/>
    </w:pPr>
    <w:rPr>
      <w:rFonts w:hAnsi="Times New Roman"/>
    </w:rPr>
  </w:style>
  <w:style w:type="paragraph" w:customStyle="1" w:styleId="19">
    <w:name w:val="标准文件_二级条标题"/>
    <w:next w:val="16"/>
    <w:qFormat/>
    <w:uiPriority w:val="0"/>
    <w:pPr>
      <w:numPr>
        <w:ilvl w:val="2"/>
        <w:numId w:val="1"/>
      </w:numPr>
      <w:suppressAutoHyphens w:val="0"/>
      <w:spacing w:before="157" w:beforeLines="50" w:after="157" w:afterLines="50"/>
      <w:jc w:val="both"/>
      <w:outlineLvl w:val="2"/>
    </w:pPr>
    <w:rPr>
      <w:rFonts w:hint="eastAsia" w:ascii="黑体" w:hAnsi="黑体" w:eastAsia="黑体" w:cs="黑体"/>
      <w:sz w:val="21"/>
      <w:lang w:val="en-US" w:eastAsia="zh-CN" w:bidi="ar-SA"/>
    </w:rPr>
  </w:style>
  <w:style w:type="paragraph" w:customStyle="1" w:styleId="20">
    <w:name w:val="标准文件_三级无标题"/>
    <w:basedOn w:val="21"/>
    <w:qFormat/>
    <w:uiPriority w:val="0"/>
    <w:pPr>
      <w:spacing w:before="4" w:beforeLines="1" w:after="4" w:afterLines="1"/>
      <w:outlineLvl w:val="9"/>
    </w:pPr>
    <w:rPr>
      <w:rFonts w:ascii="宋体" w:hAnsi="宋体" w:eastAsia="宋体" w:cs="宋体"/>
    </w:rPr>
  </w:style>
  <w:style w:type="paragraph" w:customStyle="1" w:styleId="21">
    <w:name w:val="标准文件_三级条标题"/>
    <w:basedOn w:val="19"/>
    <w:next w:val="16"/>
    <w:qFormat/>
    <w:uiPriority w:val="0"/>
    <w:pPr>
      <w:numPr>
        <w:ilvl w:val="3"/>
      </w:numPr>
      <w:spacing w:before="157" w:after="157"/>
      <w:outlineLvl w:val="3"/>
    </w:pPr>
  </w:style>
  <w:style w:type="paragraph" w:customStyle="1" w:styleId="22">
    <w:name w:val="标准文件_正文表标题"/>
    <w:next w:val="16"/>
    <w:qFormat/>
    <w:uiPriority w:val="0"/>
    <w:pPr>
      <w:numPr>
        <w:ilvl w:val="0"/>
        <w:numId w:val="2"/>
      </w:numPr>
      <w:spacing w:before="157" w:beforeLines="50" w:after="157" w:afterLines="50"/>
      <w:jc w:val="center"/>
    </w:pPr>
    <w:rPr>
      <w:rFonts w:hint="eastAsia" w:ascii="黑体" w:hAnsi="黑体" w:eastAsia="黑体" w:cs="黑体"/>
      <w:sz w:val="21"/>
    </w:rPr>
  </w:style>
  <w:style w:type="paragraph" w:customStyle="1" w:styleId="23">
    <w:name w:val="三级无"/>
    <w:qFormat/>
    <w:uiPriority w:val="0"/>
    <w:pPr>
      <w:numPr>
        <w:ilvl w:val="3"/>
        <w:numId w:val="3"/>
      </w:numPr>
      <w:outlineLvl w:val="4"/>
    </w:pPr>
    <w:rPr>
      <w:rFonts w:ascii="宋体" w:hAnsi="Times New Roman" w:eastAsia="宋体" w:cs="Times New Roman"/>
      <w:sz w:val="21"/>
      <w:szCs w:val="21"/>
      <w:lang w:val="en-US" w:eastAsia="zh-CN" w:bidi="ar-SA"/>
    </w:rPr>
  </w:style>
  <w:style w:type="paragraph" w:customStyle="1" w:styleId="24">
    <w:name w:val="标准文件_四级无标题"/>
    <w:basedOn w:val="25"/>
    <w:qFormat/>
    <w:uiPriority w:val="0"/>
    <w:pPr>
      <w:spacing w:before="4" w:beforeLines="1" w:after="4" w:afterLines="1"/>
      <w:outlineLvl w:val="9"/>
    </w:pPr>
    <w:rPr>
      <w:rFonts w:ascii="宋体" w:hAnsi="宋体" w:eastAsia="宋体" w:cs="宋体"/>
    </w:rPr>
  </w:style>
  <w:style w:type="paragraph" w:customStyle="1" w:styleId="25">
    <w:name w:val="标准文件_四级条标题"/>
    <w:next w:val="16"/>
    <w:qFormat/>
    <w:uiPriority w:val="0"/>
    <w:pPr>
      <w:numPr>
        <w:ilvl w:val="4"/>
        <w:numId w:val="1"/>
      </w:numPr>
      <w:suppressAutoHyphens w:val="0"/>
      <w:spacing w:before="157" w:beforeLines="50" w:after="157" w:afterLines="50"/>
      <w:jc w:val="both"/>
      <w:outlineLvl w:val="4"/>
    </w:pPr>
    <w:rPr>
      <w:rFonts w:hint="eastAsia" w:ascii="黑体" w:hAnsi="黑体" w:eastAsia="黑体" w:cs="黑体"/>
      <w:sz w:val="21"/>
    </w:rPr>
  </w:style>
  <w:style w:type="paragraph" w:customStyle="1" w:styleId="26">
    <w:name w:val="标准文件_一级无标题"/>
    <w:basedOn w:val="18"/>
    <w:qFormat/>
    <w:uiPriority w:val="0"/>
    <w:pPr>
      <w:spacing w:before="4" w:beforeLines="1" w:after="4" w:afterLines="1"/>
      <w:outlineLvl w:val="9"/>
    </w:pPr>
    <w:rPr>
      <w:rFonts w:ascii="宋体" w:hAnsi="宋体" w:eastAsia="宋体" w:cs="宋体"/>
    </w:rPr>
  </w:style>
  <w:style w:type="paragraph" w:customStyle="1" w:styleId="27">
    <w:name w:val="标准文件_二级无标题"/>
    <w:basedOn w:val="19"/>
    <w:qFormat/>
    <w:uiPriority w:val="0"/>
    <w:pPr>
      <w:spacing w:before="4" w:beforeLines="1" w:after="4" w:afterLines="1"/>
      <w:outlineLvl w:val="9"/>
    </w:pPr>
    <w:rPr>
      <w:rFonts w:ascii="宋体" w:hAnsi="宋体" w:eastAsia="宋体" w:cs="宋体"/>
    </w:rPr>
  </w:style>
  <w:style w:type="paragraph" w:customStyle="1" w:styleId="28">
    <w:name w:val="二级无"/>
    <w:qFormat/>
    <w:uiPriority w:val="0"/>
    <w:pPr>
      <w:outlineLvl w:val="3"/>
    </w:pPr>
    <w:rPr>
      <w:rFonts w:ascii="宋体" w:hAnsi="Times New Roman" w:eastAsia="宋体" w:cs="Times New Roman"/>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16</Pages>
  <Words>5883</Words>
  <Characters>6238</Characters>
  <Lines>0</Lines>
  <Paragraphs>0</Paragraphs>
  <TotalTime>13</TotalTime>
  <ScaleCrop>false</ScaleCrop>
  <LinksUpToDate>false</LinksUpToDate>
  <CharactersWithSpaces>6311</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2025-07-08T02:06:00Z</dcterms:created>
  <dc:creator>尹茜</dc:creator>
  <cp:lastModifiedBy>liuzhimei1949</cp:lastModifiedBy>
  <dcterms:modified xsi:type="dcterms:W3CDTF">2025-07-17T00:46:08Z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A65AE35E86A54CA3AAF10CAD6EB73089_11</vt:lpwstr>
  </property>
  <property fmtid="{D5CDD505-2E9C-101B-9397-08002B2CF9AE}" pid="4" name="KSOTemplateDocerSaveRecord">
    <vt:lpwstr>eyJoZGlkIjoiNzQ4MmYzOTM1ZTUxMWYxZDA1NjA3NmY5NTUxMGQ0ZmQiLCJ1c2VySWQiOiIxNjk1Mjk2NjEyIn0=</vt:lpwstr>
  </property>
</Properties>
</file>